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Times New Roman" w:hAnsi="Times New Roman" w:eastAsia="黑体" w:cs="仿宋"/>
          <w:sz w:val="30"/>
          <w:szCs w:val="30"/>
        </w:rPr>
      </w:pPr>
      <w:r>
        <w:rPr>
          <w:rFonts w:hint="eastAsia" w:ascii="Times New Roman" w:hAnsi="Times New Roman" w:eastAsia="黑体" w:cs="仿宋"/>
          <w:sz w:val="30"/>
          <w:szCs w:val="30"/>
        </w:rPr>
        <w:t>附件3：</w:t>
      </w:r>
    </w:p>
    <w:p>
      <w:pPr>
        <w:jc w:val="center"/>
        <w:rPr>
          <w:rFonts w:ascii="Times New Roman" w:hAnsi="Times New Roman" w:eastAsia="黑体" w:cs="仿宋"/>
          <w:sz w:val="36"/>
          <w:szCs w:val="36"/>
        </w:rPr>
      </w:pPr>
      <w:r>
        <w:rPr>
          <w:rFonts w:hint="eastAsia" w:ascii="Times New Roman" w:hAnsi="Times New Roman" w:eastAsia="黑体" w:cs="仿宋"/>
          <w:sz w:val="36"/>
          <w:szCs w:val="36"/>
          <w:lang w:eastAsia="zh-CN"/>
        </w:rPr>
        <w:t>苏州幼儿师范</w:t>
      </w:r>
      <w:r>
        <w:rPr>
          <w:rFonts w:hint="eastAsia" w:ascii="Times New Roman" w:hAnsi="Times New Roman" w:eastAsia="黑体" w:cs="仿宋"/>
          <w:sz w:val="36"/>
          <w:szCs w:val="36"/>
        </w:rPr>
        <w:t>高等专科学校</w:t>
      </w:r>
    </w:p>
    <w:p>
      <w:pPr>
        <w:jc w:val="center"/>
        <w:rPr>
          <w:rFonts w:hint="eastAsia" w:ascii="Times New Roman" w:hAnsi="Times New Roman" w:eastAsia="黑体" w:cs="仿宋"/>
          <w:sz w:val="36"/>
          <w:szCs w:val="36"/>
        </w:rPr>
      </w:pPr>
      <w:r>
        <w:rPr>
          <w:rFonts w:hint="eastAsia" w:ascii="Times New Roman" w:hAnsi="Times New Roman" w:eastAsia="黑体" w:cs="仿宋"/>
          <w:sz w:val="36"/>
          <w:szCs w:val="36"/>
          <w:lang w:val="en-US" w:eastAsia="zh-CN"/>
        </w:rPr>
        <w:t>2023年</w:t>
      </w:r>
      <w:r>
        <w:rPr>
          <w:rFonts w:hint="eastAsia" w:ascii="Times New Roman" w:hAnsi="Times New Roman" w:eastAsia="黑体" w:cs="仿宋"/>
          <w:sz w:val="36"/>
          <w:szCs w:val="36"/>
        </w:rPr>
        <w:t>“课程思政”教学</w:t>
      </w:r>
      <w:r>
        <w:rPr>
          <w:rFonts w:hint="eastAsia" w:ascii="Times New Roman" w:hAnsi="Times New Roman" w:eastAsia="黑体" w:cs="仿宋"/>
          <w:sz w:val="36"/>
          <w:szCs w:val="36"/>
          <w:lang w:eastAsia="zh-CN"/>
        </w:rPr>
        <w:t>比</w:t>
      </w:r>
      <w:bookmarkStart w:id="0" w:name="_GoBack"/>
      <w:bookmarkEnd w:id="0"/>
      <w:r>
        <w:rPr>
          <w:rFonts w:hint="eastAsia" w:ascii="Times New Roman" w:hAnsi="Times New Roman" w:eastAsia="黑体" w:cs="仿宋"/>
          <w:sz w:val="36"/>
          <w:szCs w:val="36"/>
          <w:lang w:eastAsia="zh-CN"/>
        </w:rPr>
        <w:t>赛</w:t>
      </w:r>
      <w:r>
        <w:rPr>
          <w:rFonts w:hint="eastAsia" w:ascii="Times New Roman" w:hAnsi="Times New Roman" w:eastAsia="黑体" w:cs="仿宋"/>
          <w:sz w:val="36"/>
          <w:szCs w:val="36"/>
        </w:rPr>
        <w:t>评分标准</w:t>
      </w:r>
    </w:p>
    <w:p>
      <w:pPr>
        <w:jc w:val="center"/>
        <w:rPr>
          <w:rFonts w:hint="eastAsia" w:ascii="Times New Roman" w:hAnsi="Times New Roman" w:eastAsia="黑体" w:cs="仿宋"/>
          <w:sz w:val="36"/>
          <w:szCs w:val="36"/>
        </w:rPr>
      </w:pPr>
    </w:p>
    <w:p>
      <w:pPr>
        <w:jc w:val="left"/>
        <w:rPr>
          <w:rFonts w:ascii="Times New Roman" w:hAnsi="Times New Roman" w:eastAsia="仿宋_GB2312" w:cs="仿宋_GB2312"/>
          <w:b/>
          <w:bCs/>
          <w:sz w:val="24"/>
          <w:szCs w:val="24"/>
        </w:rPr>
      </w:pPr>
      <w:r>
        <w:rPr>
          <w:rFonts w:hint="eastAsia" w:ascii="Times New Roman" w:hAnsi="Times New Roman" w:eastAsia="宋体" w:cs="宋体"/>
          <w:b/>
          <w:bCs/>
          <w:sz w:val="28"/>
          <w:szCs w:val="28"/>
          <w:lang w:eastAsia="zh-CN"/>
        </w:rPr>
        <w:t>一、教学设计评分标准（总分</w:t>
      </w:r>
      <w:r>
        <w:rPr>
          <w:rFonts w:hint="eastAsia" w:ascii="Times New Roman" w:hAnsi="Times New Roman" w:eastAsia="宋体" w:cs="宋体"/>
          <w:b/>
          <w:bCs/>
          <w:sz w:val="28"/>
          <w:szCs w:val="28"/>
          <w:lang w:val="en-US" w:eastAsia="zh-CN"/>
        </w:rPr>
        <w:t>100分</w:t>
      </w:r>
      <w:r>
        <w:rPr>
          <w:rFonts w:hint="eastAsia" w:ascii="Times New Roman" w:hAnsi="Times New Roman" w:eastAsia="宋体" w:cs="宋体"/>
          <w:b/>
          <w:bCs/>
          <w:sz w:val="28"/>
          <w:szCs w:val="28"/>
          <w:lang w:eastAsia="zh-CN"/>
        </w:rPr>
        <w:t>）</w:t>
      </w:r>
    </w:p>
    <w:tbl>
      <w:tblPr>
        <w:tblStyle w:val="4"/>
        <w:tblW w:w="88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7"/>
        <w:gridCol w:w="5389"/>
        <w:gridCol w:w="840"/>
        <w:gridCol w:w="1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1" w:hRule="atLeast"/>
          <w:jc w:val="center"/>
        </w:trPr>
        <w:tc>
          <w:tcPr>
            <w:tcW w:w="15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eastAsia="仿宋_GB2312" w:cs="仿宋_GB2312"/>
                <w:b/>
                <w:sz w:val="28"/>
                <w:szCs w:val="28"/>
              </w:rPr>
            </w:pPr>
            <w:r>
              <w:rPr>
                <w:rFonts w:hint="eastAsia" w:ascii="Times New Roman" w:hAnsi="Times New Roman" w:eastAsia="仿宋_GB2312" w:cs="仿宋_GB2312"/>
                <w:b/>
                <w:sz w:val="28"/>
                <w:szCs w:val="28"/>
              </w:rPr>
              <w:t>评价指标</w:t>
            </w:r>
          </w:p>
        </w:tc>
        <w:tc>
          <w:tcPr>
            <w:tcW w:w="538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eastAsia="仿宋_GB2312" w:cs="仿宋_GB2312"/>
                <w:b/>
                <w:sz w:val="28"/>
                <w:szCs w:val="28"/>
              </w:rPr>
            </w:pPr>
            <w:r>
              <w:rPr>
                <w:rFonts w:hint="eastAsia" w:ascii="Times New Roman" w:hAnsi="Times New Roman" w:eastAsia="仿宋_GB2312" w:cs="仿宋_GB2312"/>
                <w:b/>
                <w:sz w:val="28"/>
                <w:szCs w:val="28"/>
              </w:rPr>
              <w:t>评分内容</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eastAsia="仿宋_GB2312" w:cs="仿宋_GB2312"/>
                <w:b/>
                <w:sz w:val="28"/>
                <w:szCs w:val="28"/>
              </w:rPr>
            </w:pPr>
            <w:r>
              <w:rPr>
                <w:rFonts w:hint="eastAsia" w:ascii="Times New Roman" w:hAnsi="Times New Roman" w:eastAsia="仿宋_GB2312" w:cs="仿宋_GB2312"/>
                <w:b/>
                <w:sz w:val="28"/>
                <w:szCs w:val="28"/>
              </w:rPr>
              <w:t>分值</w:t>
            </w:r>
          </w:p>
        </w:tc>
        <w:tc>
          <w:tcPr>
            <w:tcW w:w="108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eastAsia="仿宋_GB2312" w:cs="仿宋_GB2312"/>
                <w:b/>
                <w:sz w:val="28"/>
                <w:szCs w:val="28"/>
              </w:rPr>
            </w:pPr>
            <w:r>
              <w:rPr>
                <w:rFonts w:hint="eastAsia" w:ascii="Times New Roman" w:hAnsi="Times New Roman" w:eastAsia="仿宋_GB2312" w:cs="仿宋_GB2312"/>
                <w:b/>
                <w:sz w:val="28"/>
                <w:szCs w:val="28"/>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3" w:hRule="atLeast"/>
          <w:jc w:val="center"/>
        </w:trPr>
        <w:tc>
          <w:tcPr>
            <w:tcW w:w="1557" w:type="dxa"/>
            <w:vMerge w:val="restart"/>
            <w:tcBorders>
              <w:top w:val="single" w:color="auto" w:sz="4" w:space="0"/>
              <w:left w:val="single" w:color="auto" w:sz="4" w:space="0"/>
              <w:right w:val="single" w:color="auto" w:sz="4" w:space="0"/>
            </w:tcBorders>
            <w:vAlign w:val="center"/>
          </w:tcPr>
          <w:p>
            <w:pPr>
              <w:snapToGrid w:val="0"/>
              <w:jc w:val="center"/>
              <w:rPr>
                <w:rFonts w:ascii="Times New Roman" w:hAnsi="Times New Roman" w:eastAsia="仿宋_GB2312" w:cs="仿宋_GB2312"/>
                <w:b/>
                <w:sz w:val="28"/>
                <w:szCs w:val="28"/>
              </w:rPr>
            </w:pPr>
            <w:r>
              <w:rPr>
                <w:rFonts w:hint="eastAsia" w:ascii="Times New Roman" w:hAnsi="Times New Roman" w:eastAsia="仿宋_GB2312" w:cs="仿宋_GB2312"/>
                <w:b/>
                <w:sz w:val="28"/>
                <w:szCs w:val="28"/>
              </w:rPr>
              <w:t>整体设计</w:t>
            </w:r>
          </w:p>
          <w:p>
            <w:pPr>
              <w:snapToGrid w:val="0"/>
              <w:jc w:val="center"/>
              <w:rPr>
                <w:rFonts w:ascii="Times New Roman" w:hAnsi="Times New Roman" w:eastAsia="仿宋_GB2312" w:cs="仿宋_GB2312"/>
                <w:b/>
                <w:sz w:val="28"/>
                <w:szCs w:val="28"/>
              </w:rPr>
            </w:pPr>
            <w:r>
              <w:rPr>
                <w:rFonts w:hint="eastAsia" w:ascii="Times New Roman" w:hAnsi="Times New Roman" w:eastAsia="仿宋_GB2312" w:cs="仿宋_GB2312"/>
                <w:b/>
                <w:sz w:val="28"/>
                <w:szCs w:val="28"/>
              </w:rPr>
              <w:t>（40分）</w:t>
            </w:r>
          </w:p>
        </w:tc>
        <w:tc>
          <w:tcPr>
            <w:tcW w:w="5389"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eastAsia="仿宋_GB2312" w:cs="仿宋_GB2312"/>
                <w:sz w:val="28"/>
                <w:szCs w:val="28"/>
              </w:rPr>
            </w:pPr>
            <w:r>
              <w:rPr>
                <w:rFonts w:hint="eastAsia" w:ascii="Times New Roman" w:hAnsi="Times New Roman" w:eastAsia="仿宋_GB2312" w:cs="仿宋_GB2312"/>
                <w:sz w:val="28"/>
                <w:szCs w:val="28"/>
              </w:rPr>
              <w:t>有思政目标。教学目标明确、具体，符合学生专业素养和基本职业能力培养要求。</w:t>
            </w:r>
            <w:r>
              <w:rPr>
                <w:rFonts w:ascii="Times New Roman" w:hAnsi="Times New Roman" w:eastAsia="仿宋_GB2312" w:cs="仿宋_GB2312"/>
                <w:sz w:val="28"/>
                <w:szCs w:val="28"/>
              </w:rPr>
              <w:t>准确把握</w:t>
            </w:r>
            <w:r>
              <w:rPr>
                <w:rFonts w:hint="eastAsia" w:ascii="Times New Roman" w:hAnsi="Times New Roman" w:eastAsia="仿宋_GB2312" w:cs="仿宋_GB2312"/>
                <w:sz w:val="28"/>
                <w:szCs w:val="28"/>
              </w:rPr>
              <w:t>教学</w:t>
            </w:r>
            <w:r>
              <w:rPr>
                <w:rFonts w:ascii="Times New Roman" w:hAnsi="Times New Roman" w:eastAsia="仿宋_GB2312" w:cs="仿宋_GB2312"/>
                <w:sz w:val="28"/>
                <w:szCs w:val="28"/>
              </w:rPr>
              <w:t>重点和难点，针对性强。</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eastAsia="仿宋_GB2312" w:cs="仿宋_GB2312"/>
                <w:sz w:val="28"/>
                <w:szCs w:val="28"/>
              </w:rPr>
            </w:pPr>
            <w:r>
              <w:rPr>
                <w:rFonts w:hint="eastAsia" w:ascii="Times New Roman" w:hAnsi="Times New Roman" w:eastAsia="仿宋_GB2312" w:cs="仿宋_GB2312"/>
                <w:sz w:val="28"/>
                <w:szCs w:val="28"/>
              </w:rPr>
              <w:t>10</w:t>
            </w:r>
          </w:p>
        </w:tc>
        <w:tc>
          <w:tcPr>
            <w:tcW w:w="108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9" w:hRule="atLeast"/>
          <w:jc w:val="center"/>
        </w:trPr>
        <w:tc>
          <w:tcPr>
            <w:tcW w:w="1557" w:type="dxa"/>
            <w:vMerge w:val="continue"/>
            <w:tcBorders>
              <w:left w:val="single" w:color="auto" w:sz="4" w:space="0"/>
              <w:right w:val="single" w:color="auto" w:sz="4" w:space="0"/>
            </w:tcBorders>
            <w:vAlign w:val="center"/>
          </w:tcPr>
          <w:p>
            <w:pPr>
              <w:snapToGrid w:val="0"/>
              <w:jc w:val="center"/>
              <w:rPr>
                <w:rFonts w:ascii="Times New Roman" w:hAnsi="Times New Roman" w:eastAsia="仿宋_GB2312" w:cs="仿宋_GB2312"/>
                <w:b/>
                <w:sz w:val="28"/>
                <w:szCs w:val="28"/>
              </w:rPr>
            </w:pPr>
          </w:p>
        </w:tc>
        <w:tc>
          <w:tcPr>
            <w:tcW w:w="5389"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eastAsia="仿宋_GB2312" w:cs="仿宋_GB2312"/>
                <w:sz w:val="28"/>
                <w:szCs w:val="28"/>
              </w:rPr>
            </w:pPr>
            <w:r>
              <w:rPr>
                <w:rFonts w:hint="eastAsia" w:ascii="Times New Roman" w:hAnsi="Times New Roman" w:eastAsia="仿宋_GB2312" w:cs="仿宋_GB2312"/>
                <w:sz w:val="28"/>
                <w:szCs w:val="28"/>
              </w:rPr>
              <w:t>结合“课程思政”教学目标，精心设计教学内容，充分挖掘、提炼教学内容所蕴含的思想政治教育内容。</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eastAsia="仿宋_GB2312" w:cs="仿宋_GB2312"/>
                <w:sz w:val="28"/>
                <w:szCs w:val="28"/>
              </w:rPr>
            </w:pPr>
            <w:r>
              <w:rPr>
                <w:rFonts w:hint="eastAsia" w:ascii="Times New Roman" w:hAnsi="Times New Roman" w:eastAsia="仿宋_GB2312" w:cs="仿宋_GB2312"/>
                <w:sz w:val="28"/>
                <w:szCs w:val="28"/>
              </w:rPr>
              <w:t>15</w:t>
            </w:r>
          </w:p>
        </w:tc>
        <w:tc>
          <w:tcPr>
            <w:tcW w:w="108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6" w:hRule="atLeast"/>
          <w:jc w:val="center"/>
        </w:trPr>
        <w:tc>
          <w:tcPr>
            <w:tcW w:w="1557" w:type="dxa"/>
            <w:vMerge w:val="continue"/>
            <w:tcBorders>
              <w:left w:val="single" w:color="auto" w:sz="4" w:space="0"/>
              <w:bottom w:val="single" w:color="auto" w:sz="4" w:space="0"/>
              <w:right w:val="single" w:color="auto" w:sz="4" w:space="0"/>
            </w:tcBorders>
            <w:vAlign w:val="center"/>
          </w:tcPr>
          <w:p>
            <w:pPr>
              <w:snapToGrid w:val="0"/>
              <w:jc w:val="center"/>
              <w:rPr>
                <w:rFonts w:ascii="Times New Roman" w:hAnsi="Times New Roman" w:eastAsia="仿宋_GB2312" w:cs="仿宋_GB2312"/>
                <w:b/>
                <w:sz w:val="28"/>
                <w:szCs w:val="28"/>
              </w:rPr>
            </w:pPr>
          </w:p>
        </w:tc>
        <w:tc>
          <w:tcPr>
            <w:tcW w:w="5389"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eastAsia="仿宋_GB2312" w:cs="仿宋_GB2312"/>
                <w:sz w:val="28"/>
                <w:szCs w:val="28"/>
              </w:rPr>
            </w:pPr>
            <w:r>
              <w:rPr>
                <w:rFonts w:hint="eastAsia" w:ascii="Times New Roman" w:hAnsi="Times New Roman" w:eastAsia="仿宋_GB2312" w:cs="仿宋_GB2312"/>
                <w:sz w:val="28"/>
                <w:szCs w:val="28"/>
              </w:rPr>
              <w:t>教学方法、举措与载体途径设计恰当、合理，有利于“课程思政”教学目标达成。</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eastAsia="仿宋_GB2312" w:cs="仿宋_GB2312"/>
                <w:sz w:val="28"/>
                <w:szCs w:val="28"/>
              </w:rPr>
            </w:pPr>
            <w:r>
              <w:rPr>
                <w:rFonts w:hint="eastAsia" w:ascii="Times New Roman" w:hAnsi="Times New Roman" w:eastAsia="仿宋_GB2312" w:cs="仿宋_GB2312"/>
                <w:sz w:val="28"/>
                <w:szCs w:val="28"/>
              </w:rPr>
              <w:t>15</w:t>
            </w:r>
          </w:p>
        </w:tc>
        <w:tc>
          <w:tcPr>
            <w:tcW w:w="108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4" w:hRule="atLeast"/>
          <w:jc w:val="center"/>
        </w:trPr>
        <w:tc>
          <w:tcPr>
            <w:tcW w:w="1557" w:type="dxa"/>
            <w:vMerge w:val="restart"/>
            <w:tcBorders>
              <w:left w:val="single" w:color="auto" w:sz="4" w:space="0"/>
              <w:right w:val="single" w:color="auto" w:sz="4" w:space="0"/>
            </w:tcBorders>
            <w:vAlign w:val="center"/>
          </w:tcPr>
          <w:p>
            <w:pPr>
              <w:snapToGrid w:val="0"/>
              <w:jc w:val="center"/>
              <w:rPr>
                <w:rFonts w:ascii="Times New Roman" w:hAnsi="Times New Roman" w:eastAsia="仿宋_GB2312" w:cs="仿宋_GB2312"/>
                <w:b/>
                <w:sz w:val="28"/>
                <w:szCs w:val="28"/>
              </w:rPr>
            </w:pPr>
            <w:r>
              <w:rPr>
                <w:rFonts w:hint="eastAsia" w:ascii="Times New Roman" w:hAnsi="Times New Roman" w:eastAsia="仿宋_GB2312" w:cs="仿宋_GB2312"/>
                <w:b/>
                <w:sz w:val="28"/>
                <w:szCs w:val="28"/>
              </w:rPr>
              <w:t>教学过程设计</w:t>
            </w:r>
          </w:p>
          <w:p>
            <w:pPr>
              <w:snapToGrid w:val="0"/>
              <w:jc w:val="center"/>
              <w:rPr>
                <w:rFonts w:ascii="Times New Roman" w:hAnsi="Times New Roman" w:eastAsia="仿宋_GB2312" w:cs="仿宋_GB2312"/>
                <w:b/>
                <w:sz w:val="28"/>
                <w:szCs w:val="28"/>
              </w:rPr>
            </w:pPr>
            <w:r>
              <w:rPr>
                <w:rFonts w:hint="eastAsia" w:ascii="Times New Roman" w:hAnsi="Times New Roman" w:eastAsia="仿宋_GB2312" w:cs="仿宋_GB2312"/>
                <w:b/>
                <w:sz w:val="28"/>
                <w:szCs w:val="28"/>
              </w:rPr>
              <w:t>（50分）</w:t>
            </w:r>
          </w:p>
        </w:tc>
        <w:tc>
          <w:tcPr>
            <w:tcW w:w="5389"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eastAsia="仿宋_GB2312" w:cs="仿宋_GB2312"/>
                <w:sz w:val="28"/>
                <w:szCs w:val="28"/>
              </w:rPr>
            </w:pPr>
            <w:r>
              <w:rPr>
                <w:rFonts w:hint="eastAsia" w:ascii="Times New Roman" w:hAnsi="Times New Roman" w:eastAsia="仿宋_GB2312" w:cs="仿宋_GB2312"/>
                <w:sz w:val="28"/>
                <w:szCs w:val="28"/>
              </w:rPr>
              <w:t>教学过程环节完整，</w:t>
            </w:r>
            <w:r>
              <w:rPr>
                <w:rFonts w:ascii="Times New Roman" w:hAnsi="Times New Roman" w:eastAsia="仿宋_GB2312" w:cs="仿宋_GB2312"/>
                <w:sz w:val="28"/>
                <w:szCs w:val="28"/>
              </w:rPr>
              <w:t>重点突出，条理清楚，</w:t>
            </w:r>
            <w:r>
              <w:rPr>
                <w:rFonts w:hint="eastAsia" w:ascii="Times New Roman" w:hAnsi="Times New Roman" w:eastAsia="仿宋_GB2312" w:cs="仿宋_GB2312"/>
                <w:sz w:val="28"/>
                <w:szCs w:val="28"/>
              </w:rPr>
              <w:t>逻辑性强，</w:t>
            </w:r>
            <w:r>
              <w:rPr>
                <w:rFonts w:ascii="Times New Roman" w:hAnsi="Times New Roman" w:eastAsia="仿宋_GB2312" w:cs="仿宋_GB2312"/>
                <w:sz w:val="28"/>
                <w:szCs w:val="28"/>
              </w:rPr>
              <w:t>内容承前启后，循序渐进。</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eastAsia="仿宋_GB2312" w:cs="仿宋_GB2312"/>
                <w:sz w:val="28"/>
                <w:szCs w:val="28"/>
              </w:rPr>
            </w:pPr>
            <w:r>
              <w:rPr>
                <w:rFonts w:hint="eastAsia" w:ascii="Times New Roman" w:hAnsi="Times New Roman" w:eastAsia="仿宋_GB2312" w:cs="仿宋_GB2312"/>
                <w:sz w:val="28"/>
                <w:szCs w:val="28"/>
              </w:rPr>
              <w:t>15</w:t>
            </w:r>
          </w:p>
        </w:tc>
        <w:tc>
          <w:tcPr>
            <w:tcW w:w="1085" w:type="dxa"/>
            <w:tcBorders>
              <w:top w:val="single" w:color="auto" w:sz="4" w:space="0"/>
              <w:left w:val="single" w:color="auto" w:sz="4" w:space="0"/>
              <w:right w:val="single" w:color="auto" w:sz="4" w:space="0"/>
            </w:tcBorders>
            <w:vAlign w:val="center"/>
          </w:tcPr>
          <w:p>
            <w:pPr>
              <w:snapToGrid w:val="0"/>
              <w:jc w:val="center"/>
              <w:rPr>
                <w:rFonts w:ascii="Times New Roman" w:hAnsi="Times New Roman"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5" w:hRule="atLeast"/>
          <w:jc w:val="center"/>
        </w:trPr>
        <w:tc>
          <w:tcPr>
            <w:tcW w:w="1557" w:type="dxa"/>
            <w:vMerge w:val="continue"/>
            <w:tcBorders>
              <w:left w:val="single" w:color="auto" w:sz="4" w:space="0"/>
              <w:right w:val="single" w:color="auto" w:sz="4" w:space="0"/>
            </w:tcBorders>
            <w:vAlign w:val="center"/>
          </w:tcPr>
          <w:p>
            <w:pPr>
              <w:snapToGrid w:val="0"/>
              <w:jc w:val="center"/>
              <w:rPr>
                <w:rFonts w:ascii="Times New Roman" w:hAnsi="Times New Roman" w:eastAsia="仿宋_GB2312" w:cs="仿宋_GB2312"/>
                <w:b/>
                <w:sz w:val="28"/>
                <w:szCs w:val="28"/>
              </w:rPr>
            </w:pPr>
          </w:p>
        </w:tc>
        <w:tc>
          <w:tcPr>
            <w:tcW w:w="5389"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eastAsia="仿宋_GB2312" w:cs="仿宋_GB2312"/>
                <w:sz w:val="28"/>
                <w:szCs w:val="28"/>
              </w:rPr>
            </w:pPr>
            <w:r>
              <w:rPr>
                <w:rFonts w:hint="eastAsia" w:ascii="Times New Roman" w:hAnsi="Times New Roman" w:eastAsia="仿宋_GB2312" w:cs="仿宋_GB2312"/>
                <w:sz w:val="28"/>
                <w:szCs w:val="28"/>
              </w:rPr>
              <w:t>实施过程设计巧妙，在教学过程中自然融入思想政治教育内容。教学过程安排合理，教学方法灵活多样，运用恰当，教学策略使用有效。</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eastAsia="仿宋_GB2312" w:cs="仿宋_GB2312"/>
                <w:sz w:val="28"/>
                <w:szCs w:val="28"/>
              </w:rPr>
            </w:pPr>
            <w:r>
              <w:rPr>
                <w:rFonts w:hint="eastAsia" w:ascii="Times New Roman" w:hAnsi="Times New Roman" w:eastAsia="仿宋_GB2312" w:cs="仿宋_GB2312"/>
                <w:sz w:val="28"/>
                <w:szCs w:val="28"/>
              </w:rPr>
              <w:t>20</w:t>
            </w:r>
          </w:p>
        </w:tc>
        <w:tc>
          <w:tcPr>
            <w:tcW w:w="1085" w:type="dxa"/>
            <w:tcBorders>
              <w:left w:val="single" w:color="auto" w:sz="4" w:space="0"/>
              <w:bottom w:val="single" w:color="auto" w:sz="4" w:space="0"/>
              <w:right w:val="single" w:color="auto" w:sz="4" w:space="0"/>
            </w:tcBorders>
            <w:vAlign w:val="center"/>
          </w:tcPr>
          <w:p>
            <w:pPr>
              <w:snapToGrid w:val="0"/>
              <w:jc w:val="center"/>
              <w:rPr>
                <w:rFonts w:ascii="Times New Roman" w:hAnsi="Times New Roman"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5" w:hRule="atLeast"/>
          <w:jc w:val="center"/>
        </w:trPr>
        <w:tc>
          <w:tcPr>
            <w:tcW w:w="1557" w:type="dxa"/>
            <w:vMerge w:val="continue"/>
            <w:tcBorders>
              <w:left w:val="single" w:color="auto" w:sz="4" w:space="0"/>
              <w:bottom w:val="single" w:color="auto" w:sz="4" w:space="0"/>
              <w:right w:val="single" w:color="auto" w:sz="4" w:space="0"/>
            </w:tcBorders>
            <w:vAlign w:val="center"/>
          </w:tcPr>
          <w:p>
            <w:pPr>
              <w:snapToGrid w:val="0"/>
              <w:jc w:val="center"/>
              <w:rPr>
                <w:rFonts w:ascii="Times New Roman" w:hAnsi="Times New Roman" w:eastAsia="仿宋_GB2312" w:cs="仿宋_GB2312"/>
                <w:b/>
                <w:sz w:val="28"/>
                <w:szCs w:val="28"/>
              </w:rPr>
            </w:pPr>
          </w:p>
        </w:tc>
        <w:tc>
          <w:tcPr>
            <w:tcW w:w="5389"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eastAsia="仿宋_GB2312" w:cs="仿宋_GB2312"/>
                <w:sz w:val="28"/>
                <w:szCs w:val="28"/>
              </w:rPr>
            </w:pPr>
            <w:r>
              <w:rPr>
                <w:rFonts w:hint="eastAsia" w:ascii="Times New Roman" w:hAnsi="Times New Roman" w:eastAsia="仿宋_GB2312" w:cs="仿宋_GB2312"/>
                <w:sz w:val="28"/>
                <w:szCs w:val="28"/>
              </w:rPr>
              <w:t>注重教学互动，突出学生主体地位，调动学生参与课堂积极性。</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eastAsia="仿宋_GB2312" w:cs="仿宋_GB2312"/>
                <w:sz w:val="28"/>
                <w:szCs w:val="28"/>
              </w:rPr>
            </w:pPr>
            <w:r>
              <w:rPr>
                <w:rFonts w:hint="eastAsia" w:ascii="Times New Roman" w:hAnsi="Times New Roman" w:eastAsia="仿宋_GB2312" w:cs="仿宋_GB2312"/>
                <w:sz w:val="28"/>
                <w:szCs w:val="28"/>
              </w:rPr>
              <w:t>15</w:t>
            </w:r>
          </w:p>
        </w:tc>
        <w:tc>
          <w:tcPr>
            <w:tcW w:w="108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9" w:hRule="atLeast"/>
          <w:jc w:val="center"/>
        </w:trPr>
        <w:tc>
          <w:tcPr>
            <w:tcW w:w="15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eastAsia="仿宋_GB2312" w:cs="仿宋_GB2312"/>
                <w:b/>
                <w:sz w:val="28"/>
                <w:szCs w:val="28"/>
              </w:rPr>
            </w:pPr>
            <w:r>
              <w:rPr>
                <w:rFonts w:hint="eastAsia" w:ascii="Times New Roman" w:hAnsi="Times New Roman" w:eastAsia="仿宋_GB2312" w:cs="仿宋_GB2312"/>
                <w:b/>
                <w:sz w:val="28"/>
                <w:szCs w:val="28"/>
              </w:rPr>
              <w:t>预期教学成效</w:t>
            </w:r>
          </w:p>
          <w:p>
            <w:pPr>
              <w:snapToGrid w:val="0"/>
              <w:jc w:val="center"/>
              <w:rPr>
                <w:rFonts w:ascii="Times New Roman" w:hAnsi="Times New Roman" w:eastAsia="仿宋_GB2312" w:cs="仿宋_GB2312"/>
                <w:b/>
                <w:sz w:val="28"/>
                <w:szCs w:val="28"/>
              </w:rPr>
            </w:pPr>
            <w:r>
              <w:rPr>
                <w:rFonts w:hint="eastAsia" w:ascii="Times New Roman" w:hAnsi="Times New Roman" w:eastAsia="仿宋_GB2312" w:cs="仿宋_GB2312"/>
                <w:b/>
                <w:sz w:val="28"/>
                <w:szCs w:val="28"/>
              </w:rPr>
              <w:t>（10分）</w:t>
            </w:r>
          </w:p>
        </w:tc>
        <w:tc>
          <w:tcPr>
            <w:tcW w:w="5389"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eastAsia="仿宋_GB2312" w:cs="仿宋_GB2312"/>
                <w:sz w:val="28"/>
                <w:szCs w:val="28"/>
              </w:rPr>
            </w:pPr>
            <w:r>
              <w:rPr>
                <w:rFonts w:hint="eastAsia" w:ascii="Times New Roman" w:hAnsi="Times New Roman" w:eastAsia="仿宋_GB2312" w:cs="仿宋_GB2312"/>
                <w:sz w:val="28"/>
                <w:szCs w:val="28"/>
              </w:rPr>
              <w:t>注重思想政治教育和价值引领，预期教学成效具体，可观察、可评估，让学生有获得感。</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eastAsia="仿宋_GB2312" w:cs="仿宋_GB2312"/>
                <w:sz w:val="28"/>
                <w:szCs w:val="28"/>
              </w:rPr>
            </w:pPr>
            <w:r>
              <w:rPr>
                <w:rFonts w:hint="eastAsia" w:ascii="Times New Roman" w:hAnsi="Times New Roman" w:eastAsia="仿宋_GB2312" w:cs="仿宋_GB2312"/>
                <w:sz w:val="28"/>
                <w:szCs w:val="28"/>
              </w:rPr>
              <w:t>10</w:t>
            </w:r>
          </w:p>
        </w:tc>
        <w:tc>
          <w:tcPr>
            <w:tcW w:w="108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2" w:hRule="atLeast"/>
          <w:jc w:val="center"/>
        </w:trPr>
        <w:tc>
          <w:tcPr>
            <w:tcW w:w="6946"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eastAsia="仿宋_GB2312" w:cs="仿宋_GB2312"/>
                <w:sz w:val="28"/>
                <w:szCs w:val="28"/>
              </w:rPr>
            </w:pPr>
            <w:r>
              <w:rPr>
                <w:rFonts w:hint="eastAsia" w:ascii="Times New Roman" w:hAnsi="Times New Roman" w:eastAsia="仿宋_GB2312" w:cs="仿宋_GB2312"/>
                <w:b/>
                <w:sz w:val="28"/>
                <w:szCs w:val="28"/>
              </w:rPr>
              <w:t>总  分</w:t>
            </w:r>
          </w:p>
        </w:tc>
        <w:tc>
          <w:tcPr>
            <w:tcW w:w="192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eastAsia="仿宋_GB2312" w:cs="仿宋_GB2312"/>
                <w:sz w:val="28"/>
                <w:szCs w:val="28"/>
              </w:rPr>
            </w:pPr>
          </w:p>
        </w:tc>
      </w:tr>
    </w:tbl>
    <w:p>
      <w:pPr>
        <w:jc w:val="left"/>
        <w:rPr>
          <w:rFonts w:hint="eastAsia" w:ascii="仿宋" w:hAnsi="仿宋" w:eastAsia="仿宋" w:cs="仿宋"/>
          <w:b/>
          <w:bCs/>
          <w:sz w:val="28"/>
          <w:szCs w:val="32"/>
          <w:lang w:eastAsia="zh-CN"/>
        </w:rPr>
      </w:pPr>
      <w:r>
        <w:rPr>
          <w:rFonts w:hint="eastAsia" w:ascii="仿宋" w:hAnsi="仿宋" w:eastAsia="仿宋" w:cs="仿宋"/>
          <w:b/>
          <w:bCs/>
          <w:sz w:val="28"/>
          <w:szCs w:val="28"/>
          <w:lang w:eastAsia="zh-CN"/>
        </w:rPr>
        <w:t>二、微课教学展示评分标准（</w:t>
      </w:r>
      <w:r>
        <w:rPr>
          <w:rFonts w:hint="eastAsia" w:ascii="仿宋" w:hAnsi="仿宋" w:eastAsia="仿宋" w:cs="仿宋"/>
          <w:b/>
          <w:bCs/>
          <w:sz w:val="28"/>
          <w:szCs w:val="28"/>
          <w:lang w:val="en-US" w:eastAsia="zh-CN"/>
        </w:rPr>
        <w:t>100分</w:t>
      </w:r>
      <w:r>
        <w:rPr>
          <w:rFonts w:hint="eastAsia" w:ascii="仿宋" w:hAnsi="仿宋" w:eastAsia="仿宋" w:cs="仿宋"/>
          <w:b/>
          <w:bCs/>
          <w:sz w:val="28"/>
          <w:szCs w:val="28"/>
          <w:lang w:eastAsia="zh-CN"/>
        </w:rPr>
        <w:t>）</w:t>
      </w:r>
    </w:p>
    <w:tbl>
      <w:tblPr>
        <w:tblStyle w:val="4"/>
        <w:tblW w:w="8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3"/>
        <w:gridCol w:w="5379"/>
        <w:gridCol w:w="825"/>
        <w:gridCol w:w="11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atLeast"/>
          <w:tblHeader/>
          <w:jc w:val="center"/>
        </w:trPr>
        <w:tc>
          <w:tcPr>
            <w:tcW w:w="1633"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评价指标</w:t>
            </w:r>
          </w:p>
        </w:tc>
        <w:tc>
          <w:tcPr>
            <w:tcW w:w="5379"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lang w:eastAsia="zh-CN"/>
              </w:rPr>
              <w:t>评分</w:t>
            </w:r>
            <w:r>
              <w:rPr>
                <w:rFonts w:hint="eastAsia" w:ascii="仿宋" w:hAnsi="仿宋" w:eastAsia="仿宋" w:cs="仿宋"/>
                <w:b/>
                <w:bCs/>
                <w:color w:val="000000"/>
                <w:sz w:val="28"/>
                <w:szCs w:val="28"/>
              </w:rPr>
              <w:t>内容</w:t>
            </w:r>
          </w:p>
        </w:tc>
        <w:tc>
          <w:tcPr>
            <w:tcW w:w="825"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分值</w:t>
            </w:r>
          </w:p>
        </w:tc>
        <w:tc>
          <w:tcPr>
            <w:tcW w:w="1119"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仿宋" w:hAnsi="仿宋" w:eastAsia="仿宋" w:cs="仿宋"/>
                <w:b/>
                <w:bCs/>
                <w:color w:val="000000"/>
                <w:sz w:val="28"/>
                <w:szCs w:val="28"/>
                <w:lang w:eastAsia="zh-CN"/>
              </w:rPr>
            </w:pPr>
            <w:r>
              <w:rPr>
                <w:rFonts w:hint="eastAsia" w:ascii="仿宋" w:hAnsi="仿宋" w:eastAsia="仿宋" w:cs="仿宋"/>
                <w:b/>
                <w:bCs/>
                <w:color w:val="000000"/>
                <w:sz w:val="28"/>
                <w:szCs w:val="28"/>
                <w:lang w:eastAsia="zh-CN"/>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jc w:val="center"/>
        </w:trPr>
        <w:tc>
          <w:tcPr>
            <w:tcW w:w="1633" w:type="dxa"/>
            <w:vMerge w:val="restart"/>
            <w:tcBorders>
              <w:top w:val="single" w:color="auto" w:sz="4" w:space="0"/>
              <w:left w:val="single" w:color="auto" w:sz="4" w:space="0"/>
              <w:right w:val="single" w:color="auto" w:sz="4" w:space="0"/>
            </w:tcBorders>
            <w:vAlign w:val="center"/>
          </w:tcPr>
          <w:p>
            <w:pPr>
              <w:snapToGrid w:val="0"/>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教学实施</w:t>
            </w:r>
          </w:p>
          <w:p>
            <w:pPr>
              <w:snapToGrid w:val="0"/>
              <w:jc w:val="center"/>
              <w:rPr>
                <w:rFonts w:hint="eastAsia" w:ascii="仿宋" w:hAnsi="仿宋" w:eastAsia="仿宋" w:cs="仿宋"/>
                <w:b/>
                <w:bCs/>
                <w:color w:val="000000"/>
                <w:sz w:val="28"/>
                <w:szCs w:val="28"/>
                <w:lang w:eastAsia="zh-CN"/>
              </w:rPr>
            </w:pP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lang w:val="en-US" w:eastAsia="zh-CN"/>
              </w:rPr>
              <w:t>45分</w:t>
            </w:r>
            <w:r>
              <w:rPr>
                <w:rFonts w:hint="eastAsia" w:ascii="仿宋" w:hAnsi="仿宋" w:eastAsia="仿宋" w:cs="仿宋"/>
                <w:b/>
                <w:bCs/>
                <w:color w:val="000000"/>
                <w:sz w:val="28"/>
                <w:szCs w:val="28"/>
                <w:lang w:eastAsia="zh-CN"/>
              </w:rPr>
              <w:t>）</w:t>
            </w:r>
          </w:p>
        </w:tc>
        <w:tc>
          <w:tcPr>
            <w:tcW w:w="5379" w:type="dxa"/>
            <w:tcBorders>
              <w:top w:val="single" w:color="auto" w:sz="4" w:space="0"/>
              <w:left w:val="single" w:color="auto" w:sz="4" w:space="0"/>
              <w:bottom w:val="single" w:color="auto" w:sz="4" w:space="0"/>
              <w:right w:val="single" w:color="auto" w:sz="4" w:space="0"/>
            </w:tcBorders>
            <w:vAlign w:val="center"/>
          </w:tcPr>
          <w:p>
            <w:pPr>
              <w:snapToGrid w:val="0"/>
              <w:rPr>
                <w:rFonts w:hint="eastAsia" w:ascii="仿宋" w:hAnsi="仿宋" w:eastAsia="仿宋" w:cs="仿宋"/>
                <w:color w:val="000000"/>
                <w:sz w:val="28"/>
                <w:szCs w:val="28"/>
              </w:rPr>
            </w:pPr>
            <w:r>
              <w:rPr>
                <w:rFonts w:hint="eastAsia" w:ascii="仿宋" w:hAnsi="仿宋" w:eastAsia="仿宋" w:cs="仿宋"/>
                <w:color w:val="000000"/>
                <w:sz w:val="28"/>
                <w:szCs w:val="28"/>
              </w:rPr>
              <w:t>善于提炼课程蕴含的育人因素，能将思想政治教育和专业知识传授融合，教学内容呈现恰当，教学活动组织合理。</w:t>
            </w:r>
          </w:p>
        </w:tc>
        <w:tc>
          <w:tcPr>
            <w:tcW w:w="825"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20</w:t>
            </w:r>
          </w:p>
        </w:tc>
        <w:tc>
          <w:tcPr>
            <w:tcW w:w="1119"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仿宋" w:hAnsi="仿宋" w:eastAsia="仿宋" w:cs="仿宋"/>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5" w:hRule="atLeast"/>
          <w:jc w:val="center"/>
        </w:trPr>
        <w:tc>
          <w:tcPr>
            <w:tcW w:w="1633" w:type="dxa"/>
            <w:vMerge w:val="continue"/>
            <w:tcBorders>
              <w:left w:val="single" w:color="auto" w:sz="4" w:space="0"/>
              <w:right w:val="single" w:color="auto" w:sz="4" w:space="0"/>
            </w:tcBorders>
            <w:vAlign w:val="center"/>
          </w:tcPr>
          <w:p>
            <w:pPr>
              <w:snapToGrid w:val="0"/>
              <w:jc w:val="center"/>
              <w:rPr>
                <w:rFonts w:hint="eastAsia" w:ascii="仿宋" w:hAnsi="仿宋" w:eastAsia="仿宋" w:cs="仿宋"/>
                <w:b/>
                <w:bCs/>
                <w:color w:val="000000"/>
                <w:sz w:val="28"/>
                <w:szCs w:val="28"/>
              </w:rPr>
            </w:pPr>
          </w:p>
        </w:tc>
        <w:tc>
          <w:tcPr>
            <w:tcW w:w="5379" w:type="dxa"/>
            <w:tcBorders>
              <w:top w:val="single" w:color="auto" w:sz="4" w:space="0"/>
              <w:left w:val="single" w:color="auto" w:sz="4" w:space="0"/>
              <w:bottom w:val="single" w:color="auto" w:sz="4" w:space="0"/>
              <w:right w:val="single" w:color="auto" w:sz="4" w:space="0"/>
            </w:tcBorders>
            <w:vAlign w:val="center"/>
          </w:tcPr>
          <w:p>
            <w:pPr>
              <w:snapToGrid w:val="0"/>
              <w:rPr>
                <w:rFonts w:hint="eastAsia" w:ascii="仿宋" w:hAnsi="仿宋" w:eastAsia="仿宋" w:cs="仿宋"/>
                <w:color w:val="000000"/>
                <w:sz w:val="28"/>
                <w:szCs w:val="28"/>
              </w:rPr>
            </w:pPr>
            <w:r>
              <w:rPr>
                <w:rFonts w:hint="eastAsia" w:ascii="仿宋" w:hAnsi="仿宋" w:eastAsia="仿宋" w:cs="仿宋"/>
                <w:color w:val="000000"/>
                <w:sz w:val="28"/>
                <w:szCs w:val="28"/>
              </w:rPr>
              <w:t>善于综合运用现代信息技术手段和数字资源把思政教育巧妙渗透教学全过程，教学方法运用恰当，教学策略使用有效。</w:t>
            </w:r>
          </w:p>
        </w:tc>
        <w:tc>
          <w:tcPr>
            <w:tcW w:w="825"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15</w:t>
            </w:r>
          </w:p>
        </w:tc>
        <w:tc>
          <w:tcPr>
            <w:tcW w:w="1119"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仿宋" w:hAnsi="仿宋" w:eastAsia="仿宋" w:cs="仿宋"/>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7" w:hRule="atLeast"/>
          <w:jc w:val="center"/>
        </w:trPr>
        <w:tc>
          <w:tcPr>
            <w:tcW w:w="1633" w:type="dxa"/>
            <w:vMerge w:val="continue"/>
            <w:tcBorders>
              <w:left w:val="single" w:color="auto" w:sz="4" w:space="0"/>
              <w:bottom w:val="single" w:color="auto" w:sz="4" w:space="0"/>
              <w:right w:val="single" w:color="auto" w:sz="4" w:space="0"/>
            </w:tcBorders>
            <w:vAlign w:val="center"/>
          </w:tcPr>
          <w:p>
            <w:pPr>
              <w:snapToGrid w:val="0"/>
              <w:jc w:val="center"/>
              <w:rPr>
                <w:rFonts w:hint="eastAsia" w:ascii="仿宋" w:hAnsi="仿宋" w:eastAsia="仿宋" w:cs="仿宋"/>
                <w:b/>
                <w:bCs/>
                <w:color w:val="000000"/>
                <w:sz w:val="28"/>
                <w:szCs w:val="28"/>
              </w:rPr>
            </w:pPr>
          </w:p>
        </w:tc>
        <w:tc>
          <w:tcPr>
            <w:tcW w:w="5379" w:type="dxa"/>
            <w:tcBorders>
              <w:top w:val="single" w:color="auto" w:sz="4" w:space="0"/>
              <w:left w:val="single" w:color="auto" w:sz="4" w:space="0"/>
              <w:bottom w:val="single" w:color="auto" w:sz="4" w:space="0"/>
              <w:right w:val="single" w:color="auto" w:sz="4" w:space="0"/>
            </w:tcBorders>
            <w:vAlign w:val="center"/>
          </w:tcPr>
          <w:p>
            <w:pPr>
              <w:snapToGrid w:val="0"/>
              <w:rPr>
                <w:rFonts w:hint="eastAsia" w:ascii="仿宋" w:hAnsi="仿宋" w:eastAsia="仿宋" w:cs="仿宋"/>
                <w:color w:val="000000"/>
                <w:sz w:val="28"/>
                <w:szCs w:val="28"/>
              </w:rPr>
            </w:pPr>
            <w:r>
              <w:rPr>
                <w:rFonts w:hint="eastAsia" w:ascii="仿宋" w:hAnsi="仿宋" w:eastAsia="仿宋" w:cs="仿宋"/>
                <w:color w:val="000000"/>
                <w:sz w:val="28"/>
                <w:szCs w:val="28"/>
              </w:rPr>
              <w:t>注重教学互动，突出学生主体地位，调动学生参与课堂积极性。</w:t>
            </w:r>
          </w:p>
        </w:tc>
        <w:tc>
          <w:tcPr>
            <w:tcW w:w="825"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10</w:t>
            </w:r>
          </w:p>
        </w:tc>
        <w:tc>
          <w:tcPr>
            <w:tcW w:w="1119"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仿宋" w:hAnsi="仿宋" w:eastAsia="仿宋" w:cs="仿宋"/>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2" w:hRule="atLeast"/>
          <w:jc w:val="center"/>
        </w:trPr>
        <w:tc>
          <w:tcPr>
            <w:tcW w:w="1633" w:type="dxa"/>
            <w:vMerge w:val="restart"/>
            <w:tcBorders>
              <w:top w:val="single" w:color="auto" w:sz="4" w:space="0"/>
              <w:left w:val="single" w:color="auto" w:sz="4" w:space="0"/>
              <w:right w:val="single" w:color="auto" w:sz="4" w:space="0"/>
            </w:tcBorders>
            <w:vAlign w:val="center"/>
          </w:tcPr>
          <w:p>
            <w:pPr>
              <w:snapToGrid w:val="0"/>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教学效果</w:t>
            </w:r>
          </w:p>
          <w:p>
            <w:pPr>
              <w:snapToGrid w:val="0"/>
              <w:jc w:val="center"/>
              <w:rPr>
                <w:rFonts w:hint="eastAsia" w:ascii="仿宋" w:hAnsi="仿宋" w:eastAsia="仿宋" w:cs="仿宋"/>
                <w:b/>
                <w:bCs/>
                <w:color w:val="000000"/>
                <w:sz w:val="28"/>
                <w:szCs w:val="28"/>
                <w:lang w:eastAsia="zh-CN"/>
              </w:rPr>
            </w:pP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lang w:val="en-US" w:eastAsia="zh-CN"/>
              </w:rPr>
              <w:t>30分</w:t>
            </w:r>
            <w:r>
              <w:rPr>
                <w:rFonts w:hint="eastAsia" w:ascii="仿宋" w:hAnsi="仿宋" w:eastAsia="仿宋" w:cs="仿宋"/>
                <w:b/>
                <w:bCs/>
                <w:color w:val="000000"/>
                <w:sz w:val="28"/>
                <w:szCs w:val="28"/>
                <w:lang w:eastAsia="zh-CN"/>
              </w:rPr>
              <w:t>）</w:t>
            </w:r>
          </w:p>
        </w:tc>
        <w:tc>
          <w:tcPr>
            <w:tcW w:w="5379" w:type="dxa"/>
            <w:tcBorders>
              <w:top w:val="single" w:color="auto" w:sz="4" w:space="0"/>
              <w:left w:val="single" w:color="auto" w:sz="4" w:space="0"/>
              <w:bottom w:val="single" w:color="auto" w:sz="4" w:space="0"/>
              <w:right w:val="single" w:color="auto" w:sz="4" w:space="0"/>
            </w:tcBorders>
            <w:vAlign w:val="center"/>
          </w:tcPr>
          <w:p>
            <w:pPr>
              <w:snapToGrid w:val="0"/>
              <w:rPr>
                <w:rFonts w:hint="eastAsia" w:ascii="仿宋" w:hAnsi="仿宋" w:eastAsia="仿宋" w:cs="仿宋"/>
                <w:color w:val="000000"/>
                <w:sz w:val="28"/>
                <w:szCs w:val="28"/>
              </w:rPr>
            </w:pPr>
            <w:r>
              <w:rPr>
                <w:rFonts w:hint="eastAsia" w:ascii="仿宋" w:hAnsi="仿宋" w:eastAsia="仿宋" w:cs="仿宋"/>
                <w:color w:val="000000"/>
                <w:sz w:val="28"/>
                <w:szCs w:val="28"/>
              </w:rPr>
              <w:t>注重思想理论教育和价值引领，有效达成教学目标，效果明显。</w:t>
            </w:r>
          </w:p>
        </w:tc>
        <w:tc>
          <w:tcPr>
            <w:tcW w:w="825"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20</w:t>
            </w:r>
          </w:p>
        </w:tc>
        <w:tc>
          <w:tcPr>
            <w:tcW w:w="1119"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仿宋" w:hAnsi="仿宋" w:eastAsia="仿宋" w:cs="仿宋"/>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2" w:hRule="atLeast"/>
          <w:jc w:val="center"/>
        </w:trPr>
        <w:tc>
          <w:tcPr>
            <w:tcW w:w="1633" w:type="dxa"/>
            <w:vMerge w:val="continue"/>
            <w:tcBorders>
              <w:left w:val="single" w:color="auto" w:sz="4" w:space="0"/>
              <w:bottom w:val="single" w:color="auto" w:sz="4" w:space="0"/>
              <w:right w:val="single" w:color="auto" w:sz="4" w:space="0"/>
            </w:tcBorders>
            <w:vAlign w:val="center"/>
          </w:tcPr>
          <w:p>
            <w:pPr>
              <w:snapToGrid w:val="0"/>
              <w:jc w:val="center"/>
              <w:rPr>
                <w:rFonts w:hint="eastAsia" w:ascii="仿宋" w:hAnsi="仿宋" w:eastAsia="仿宋" w:cs="仿宋"/>
                <w:b/>
                <w:bCs/>
                <w:color w:val="000000"/>
                <w:sz w:val="28"/>
                <w:szCs w:val="28"/>
              </w:rPr>
            </w:pPr>
          </w:p>
        </w:tc>
        <w:tc>
          <w:tcPr>
            <w:tcW w:w="5379" w:type="dxa"/>
            <w:tcBorders>
              <w:top w:val="single" w:color="auto" w:sz="4" w:space="0"/>
              <w:left w:val="single" w:color="auto" w:sz="4" w:space="0"/>
              <w:bottom w:val="single" w:color="auto" w:sz="4" w:space="0"/>
              <w:right w:val="single" w:color="auto" w:sz="4" w:space="0"/>
            </w:tcBorders>
            <w:vAlign w:val="center"/>
          </w:tcPr>
          <w:p>
            <w:pPr>
              <w:snapToGrid w:val="0"/>
              <w:rPr>
                <w:rFonts w:hint="eastAsia" w:ascii="仿宋" w:hAnsi="仿宋" w:eastAsia="仿宋" w:cs="仿宋"/>
                <w:color w:val="000000"/>
                <w:sz w:val="28"/>
                <w:szCs w:val="28"/>
              </w:rPr>
            </w:pPr>
            <w:r>
              <w:rPr>
                <w:rFonts w:hint="eastAsia" w:ascii="仿宋" w:hAnsi="仿宋" w:eastAsia="仿宋" w:cs="仿宋"/>
                <w:color w:val="000000"/>
                <w:sz w:val="28"/>
                <w:szCs w:val="28"/>
              </w:rPr>
              <w:t>课堂教学能结合课程特色挖掘育人因素，课堂实施成效好，特色鲜明，具有较强的示范性。</w:t>
            </w:r>
          </w:p>
        </w:tc>
        <w:tc>
          <w:tcPr>
            <w:tcW w:w="825"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10</w:t>
            </w:r>
          </w:p>
        </w:tc>
        <w:tc>
          <w:tcPr>
            <w:tcW w:w="1119"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仿宋" w:hAnsi="仿宋" w:eastAsia="仿宋" w:cs="仿宋"/>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6" w:hRule="atLeast"/>
          <w:jc w:val="center"/>
        </w:trPr>
        <w:tc>
          <w:tcPr>
            <w:tcW w:w="1633" w:type="dxa"/>
            <w:tcBorders>
              <w:top w:val="single" w:color="auto" w:sz="4" w:space="0"/>
              <w:left w:val="single" w:color="auto" w:sz="4" w:space="0"/>
              <w:right w:val="single" w:color="auto" w:sz="4" w:space="0"/>
            </w:tcBorders>
            <w:vAlign w:val="center"/>
          </w:tcPr>
          <w:p>
            <w:pPr>
              <w:snapToGrid w:val="0"/>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教师素养与创新特色</w:t>
            </w:r>
          </w:p>
          <w:p>
            <w:pPr>
              <w:snapToGrid w:val="0"/>
              <w:jc w:val="center"/>
              <w:rPr>
                <w:rFonts w:hint="eastAsia" w:ascii="仿宋" w:hAnsi="仿宋" w:eastAsia="仿宋" w:cs="仿宋"/>
                <w:b/>
                <w:bCs/>
                <w:color w:val="000000"/>
                <w:sz w:val="28"/>
                <w:szCs w:val="28"/>
                <w:lang w:eastAsia="zh-CN"/>
              </w:rPr>
            </w:pP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lang w:val="en-US" w:eastAsia="zh-CN"/>
              </w:rPr>
              <w:t>15分</w:t>
            </w:r>
            <w:r>
              <w:rPr>
                <w:rFonts w:hint="eastAsia" w:ascii="仿宋" w:hAnsi="仿宋" w:eastAsia="仿宋" w:cs="仿宋"/>
                <w:b/>
                <w:bCs/>
                <w:color w:val="000000"/>
                <w:sz w:val="28"/>
                <w:szCs w:val="28"/>
                <w:lang w:eastAsia="zh-CN"/>
              </w:rPr>
              <w:t>）</w:t>
            </w:r>
          </w:p>
        </w:tc>
        <w:tc>
          <w:tcPr>
            <w:tcW w:w="5379" w:type="dxa"/>
            <w:tcBorders>
              <w:top w:val="single" w:color="auto" w:sz="4" w:space="0"/>
              <w:left w:val="single" w:color="auto" w:sz="4" w:space="0"/>
              <w:bottom w:val="single" w:color="auto" w:sz="4" w:space="0"/>
              <w:right w:val="single" w:color="auto" w:sz="4" w:space="0"/>
            </w:tcBorders>
            <w:vAlign w:val="center"/>
          </w:tcPr>
          <w:p>
            <w:pPr>
              <w:snapToGrid w:val="0"/>
              <w:rPr>
                <w:rFonts w:hint="eastAsia" w:ascii="仿宋" w:hAnsi="仿宋" w:eastAsia="仿宋" w:cs="仿宋"/>
                <w:color w:val="000000"/>
                <w:sz w:val="28"/>
                <w:szCs w:val="28"/>
              </w:rPr>
            </w:pPr>
            <w:r>
              <w:rPr>
                <w:rFonts w:hint="eastAsia" w:ascii="仿宋" w:hAnsi="仿宋" w:eastAsia="仿宋" w:cs="仿宋"/>
                <w:color w:val="000000"/>
                <w:sz w:val="28"/>
                <w:szCs w:val="28"/>
              </w:rPr>
              <w:t>具有良好的专业素养、科学精神、人文情怀；教态大方，举止得体，精神饱满，综合素质高；个人教学特色突出。</w:t>
            </w:r>
          </w:p>
        </w:tc>
        <w:tc>
          <w:tcPr>
            <w:tcW w:w="825"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15</w:t>
            </w:r>
          </w:p>
        </w:tc>
        <w:tc>
          <w:tcPr>
            <w:tcW w:w="1119"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仿宋" w:hAnsi="仿宋" w:eastAsia="仿宋" w:cs="仿宋"/>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8" w:hRule="atLeast"/>
          <w:jc w:val="center"/>
        </w:trPr>
        <w:tc>
          <w:tcPr>
            <w:tcW w:w="1633" w:type="dxa"/>
            <w:tcBorders>
              <w:left w:val="single" w:color="auto" w:sz="4" w:space="0"/>
              <w:right w:val="single" w:color="auto" w:sz="4" w:space="0"/>
            </w:tcBorders>
            <w:vAlign w:val="center"/>
          </w:tcPr>
          <w:p>
            <w:pPr>
              <w:snapToGrid w:val="0"/>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现场提问</w:t>
            </w:r>
          </w:p>
          <w:p>
            <w:pPr>
              <w:snapToGrid w:val="0"/>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lang w:val="en-US" w:eastAsia="zh-CN"/>
              </w:rPr>
              <w:t>10分</w:t>
            </w: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rPr>
              <w:t xml:space="preserve"> </w:t>
            </w:r>
          </w:p>
        </w:tc>
        <w:tc>
          <w:tcPr>
            <w:tcW w:w="5379" w:type="dxa"/>
            <w:tcBorders>
              <w:top w:val="single" w:color="auto" w:sz="4" w:space="0"/>
              <w:left w:val="single" w:color="auto" w:sz="4" w:space="0"/>
              <w:bottom w:val="single" w:color="auto" w:sz="4" w:space="0"/>
              <w:right w:val="single" w:color="auto" w:sz="4" w:space="0"/>
            </w:tcBorders>
            <w:vAlign w:val="center"/>
          </w:tcPr>
          <w:p>
            <w:pPr>
              <w:snapToGrid w:val="0"/>
              <w:rPr>
                <w:rFonts w:hint="eastAsia" w:ascii="仿宋" w:hAnsi="仿宋" w:eastAsia="仿宋" w:cs="仿宋"/>
                <w:color w:val="000000"/>
                <w:sz w:val="28"/>
                <w:szCs w:val="28"/>
              </w:rPr>
            </w:pPr>
            <w:r>
              <w:rPr>
                <w:rFonts w:hint="eastAsia" w:ascii="仿宋" w:hAnsi="仿宋" w:eastAsia="仿宋" w:cs="仿宋"/>
                <w:color w:val="000000"/>
                <w:sz w:val="28"/>
                <w:szCs w:val="28"/>
              </w:rPr>
              <w:t>回答评委提出的问题，条理清晰，抓住要点，观点正确，理由充分，见解独到，针对性强。</w:t>
            </w:r>
          </w:p>
        </w:tc>
        <w:tc>
          <w:tcPr>
            <w:tcW w:w="825"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10</w:t>
            </w:r>
          </w:p>
        </w:tc>
        <w:tc>
          <w:tcPr>
            <w:tcW w:w="1119"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仿宋" w:hAnsi="仿宋" w:eastAsia="仿宋" w:cs="仿宋"/>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8" w:hRule="atLeast"/>
          <w:jc w:val="center"/>
        </w:trPr>
        <w:tc>
          <w:tcPr>
            <w:tcW w:w="7012" w:type="dxa"/>
            <w:gridSpan w:val="2"/>
            <w:tcBorders>
              <w:left w:val="single" w:color="auto" w:sz="4" w:space="0"/>
              <w:right w:val="single" w:color="auto" w:sz="4" w:space="0"/>
            </w:tcBorders>
            <w:vAlign w:val="center"/>
          </w:tcPr>
          <w:p>
            <w:pPr>
              <w:snapToGrid w:val="0"/>
              <w:jc w:val="center"/>
              <w:rPr>
                <w:rFonts w:hint="eastAsia" w:ascii="仿宋" w:hAnsi="仿宋" w:eastAsia="仿宋" w:cs="仿宋"/>
                <w:color w:val="000000"/>
                <w:sz w:val="28"/>
                <w:szCs w:val="28"/>
                <w:lang w:eastAsia="zh-CN"/>
              </w:rPr>
            </w:pPr>
            <w:r>
              <w:rPr>
                <w:rFonts w:hint="eastAsia" w:ascii="仿宋" w:hAnsi="仿宋" w:eastAsia="仿宋" w:cs="仿宋"/>
                <w:b/>
                <w:bCs/>
                <w:color w:val="000000"/>
                <w:sz w:val="28"/>
                <w:szCs w:val="28"/>
                <w:lang w:eastAsia="zh-CN"/>
              </w:rPr>
              <w:t>总</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lang w:eastAsia="zh-CN"/>
              </w:rPr>
              <w:t>分</w:t>
            </w:r>
          </w:p>
        </w:tc>
        <w:tc>
          <w:tcPr>
            <w:tcW w:w="194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仿宋" w:hAnsi="仿宋" w:eastAsia="仿宋" w:cs="仿宋"/>
                <w:color w:val="000000"/>
                <w:sz w:val="28"/>
                <w:szCs w:val="28"/>
              </w:rPr>
            </w:pPr>
          </w:p>
        </w:tc>
      </w:tr>
    </w:tbl>
    <w:p>
      <w:pPr>
        <w:numPr>
          <w:ilvl w:val="0"/>
          <w:numId w:val="0"/>
        </w:numPr>
        <w:rPr>
          <w:rFonts w:hint="eastAsia" w:ascii="仿宋" w:hAnsi="仿宋" w:eastAsia="仿宋" w:cs="仿宋"/>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JmNmI0NzM3OGU2ODY4ZTNiODU2YzdkYjBhZjNmMTQifQ=="/>
  </w:docVars>
  <w:rsids>
    <w:rsidRoot w:val="007B599E"/>
    <w:rsid w:val="000117E4"/>
    <w:rsid w:val="00043BF5"/>
    <w:rsid w:val="000466B7"/>
    <w:rsid w:val="000A1AB0"/>
    <w:rsid w:val="000D0159"/>
    <w:rsid w:val="00117F7E"/>
    <w:rsid w:val="001D6870"/>
    <w:rsid w:val="001E1924"/>
    <w:rsid w:val="001E3230"/>
    <w:rsid w:val="00213BA5"/>
    <w:rsid w:val="0026425D"/>
    <w:rsid w:val="002C1B9D"/>
    <w:rsid w:val="00351E9C"/>
    <w:rsid w:val="0035355A"/>
    <w:rsid w:val="00355D1F"/>
    <w:rsid w:val="00365F69"/>
    <w:rsid w:val="0043792B"/>
    <w:rsid w:val="00441830"/>
    <w:rsid w:val="004A421C"/>
    <w:rsid w:val="0051233A"/>
    <w:rsid w:val="0051305E"/>
    <w:rsid w:val="005816D9"/>
    <w:rsid w:val="00583A41"/>
    <w:rsid w:val="005A062B"/>
    <w:rsid w:val="005A4246"/>
    <w:rsid w:val="005F1652"/>
    <w:rsid w:val="006D3596"/>
    <w:rsid w:val="006D756A"/>
    <w:rsid w:val="00711581"/>
    <w:rsid w:val="00741506"/>
    <w:rsid w:val="00781D7E"/>
    <w:rsid w:val="007B599E"/>
    <w:rsid w:val="00876CF8"/>
    <w:rsid w:val="00941CCE"/>
    <w:rsid w:val="00985604"/>
    <w:rsid w:val="009B021D"/>
    <w:rsid w:val="009B652F"/>
    <w:rsid w:val="009C00E4"/>
    <w:rsid w:val="009C2AD7"/>
    <w:rsid w:val="00A06195"/>
    <w:rsid w:val="00A56091"/>
    <w:rsid w:val="00A83C71"/>
    <w:rsid w:val="00A874FD"/>
    <w:rsid w:val="00AA4D9A"/>
    <w:rsid w:val="00B06A92"/>
    <w:rsid w:val="00B24C83"/>
    <w:rsid w:val="00B74550"/>
    <w:rsid w:val="00B92FCA"/>
    <w:rsid w:val="00BB09A7"/>
    <w:rsid w:val="00D77ABB"/>
    <w:rsid w:val="00DB45A6"/>
    <w:rsid w:val="00DF4B16"/>
    <w:rsid w:val="00E36B67"/>
    <w:rsid w:val="00E374F0"/>
    <w:rsid w:val="00E67510"/>
    <w:rsid w:val="00EB017E"/>
    <w:rsid w:val="00F43444"/>
    <w:rsid w:val="00F8510C"/>
    <w:rsid w:val="00FF34C4"/>
    <w:rsid w:val="00FF687D"/>
    <w:rsid w:val="0B5E43BF"/>
    <w:rsid w:val="1857484A"/>
    <w:rsid w:val="19F47884"/>
    <w:rsid w:val="1C4B51E3"/>
    <w:rsid w:val="3B460089"/>
    <w:rsid w:val="3F0D18B5"/>
    <w:rsid w:val="436B6947"/>
    <w:rsid w:val="52794613"/>
    <w:rsid w:val="66C90A42"/>
    <w:rsid w:val="7B857F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757</Words>
  <Characters>785</Characters>
  <Lines>3</Lines>
  <Paragraphs>1</Paragraphs>
  <TotalTime>46</TotalTime>
  <ScaleCrop>false</ScaleCrop>
  <LinksUpToDate>false</LinksUpToDate>
  <CharactersWithSpaces>790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2021-03-29T01:53:00Z</dcterms:created>
  <dc:creator>李蓓春</dc:creator>
  <cp:lastModifiedBy>Administrator</cp:lastModifiedBy>
  <dcterms:modified xsi:type="dcterms:W3CDTF">2023-04-18T02:10:32Z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444F70F97839401CAB2C25D1008EFF7E</vt:lpwstr>
  </property>
</Properties>
</file>