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612DD">
      <w:pPr>
        <w:spacing w:line="800" w:lineRule="exact"/>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r>
        <w:rPr>
          <w:rFonts w:hint="eastAsia" w:ascii="方正小标宋简体" w:hAnsi="方正小标宋简体" w:eastAsia="方正小标宋简体" w:cs="方正小标宋简体"/>
          <w:sz w:val="44"/>
          <w:szCs w:val="44"/>
          <w:highlight w:val="none"/>
          <w:lang w:val="en-US" w:eastAsia="zh-CN"/>
        </w:rPr>
        <w:t>学校</w:t>
      </w:r>
      <w:r>
        <w:rPr>
          <w:rFonts w:hint="eastAsia" w:ascii="方正小标宋简体" w:hAnsi="方正小标宋简体" w:eastAsia="方正小标宋简体" w:cs="方正小标宋简体"/>
          <w:sz w:val="44"/>
          <w:szCs w:val="44"/>
          <w:highlight w:val="none"/>
        </w:rPr>
        <w:t>工作</w:t>
      </w:r>
      <w:r>
        <w:rPr>
          <w:rFonts w:hint="eastAsia" w:ascii="方正小标宋简体" w:hAnsi="方正小标宋简体" w:eastAsia="方正小标宋简体" w:cs="方正小标宋简体"/>
          <w:sz w:val="44"/>
          <w:szCs w:val="44"/>
          <w:highlight w:val="none"/>
          <w:lang w:val="en-US" w:eastAsia="zh-CN"/>
        </w:rPr>
        <w:t>计划</w:t>
      </w:r>
      <w:bookmarkStart w:id="0" w:name="_GoBack"/>
      <w:bookmarkEnd w:id="0"/>
    </w:p>
    <w:p w14:paraId="03B2EF86">
      <w:pPr>
        <w:spacing w:line="560" w:lineRule="exact"/>
        <w:ind w:firstLine="640" w:firstLineChars="200"/>
        <w:rPr>
          <w:rFonts w:hint="eastAsia" w:cs="仿宋_GB2312"/>
          <w:sz w:val="32"/>
          <w:szCs w:val="28"/>
          <w:highlight w:val="none"/>
        </w:rPr>
      </w:pPr>
    </w:p>
    <w:p w14:paraId="75EEFBF4">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2025年是贯彻全国教育大会精神、落实教育强国建设规划纲要的关键之年，也是“十四五”收官和“十五五”谋划之年</w:t>
      </w:r>
      <w:r>
        <w:rPr>
          <w:rFonts w:hint="eastAsia" w:ascii="仿宋" w:hAnsi="仿宋" w:eastAsia="仿宋" w:cs="仿宋"/>
          <w:sz w:val="32"/>
          <w:szCs w:val="32"/>
          <w:highlight w:val="none"/>
          <w:lang w:eastAsia="zh-CN"/>
        </w:rPr>
        <w:t>。</w:t>
      </w:r>
      <w:r>
        <w:rPr>
          <w:rFonts w:hint="eastAsia" w:ascii="黑体" w:hAnsi="黑体" w:eastAsia="黑体" w:cs="黑体"/>
          <w:b w:val="0"/>
          <w:bCs w:val="0"/>
          <w:sz w:val="32"/>
          <w:szCs w:val="32"/>
          <w:highlight w:val="none"/>
          <w:lang w:val="en-US" w:eastAsia="zh-CN"/>
        </w:rPr>
        <w:t>2025年学校工作总体要求是：</w:t>
      </w:r>
      <w:r>
        <w:rPr>
          <w:rFonts w:hint="eastAsia" w:ascii="仿宋" w:hAnsi="仿宋" w:eastAsia="仿宋" w:cs="仿宋"/>
          <w:sz w:val="32"/>
          <w:szCs w:val="32"/>
          <w:highlight w:val="none"/>
          <w:lang w:val="en-US" w:eastAsia="zh-CN"/>
        </w:rPr>
        <w:t>坚持以习近平新时代中国特色社会主义思想为指导，深入学习贯彻党的二十大和二十届二中、三中全会精神，全面贯彻落实全国、全省教育大会精神，高质量完成“十四五”规划目标任务，认真谋划“十五五”发展思路，围绕建设“长三角示范、全国一流幼专”目标，干字当头、只争朝夕、拼搏奋进，推动学校事业发展迈上新台阶，以新的发展实绩为苏州教育事业和全市经济社会发展作出更大贡献。</w:t>
      </w:r>
    </w:p>
    <w:p w14:paraId="34017811">
      <w:pPr>
        <w:keepNext w:val="0"/>
        <w:keepLines w:val="0"/>
        <w:pageBreakBefore w:val="0"/>
        <w:numPr>
          <w:ilvl w:val="0"/>
          <w:numId w:val="1"/>
        </w:numPr>
        <w:kinsoku/>
        <w:wordWrap/>
        <w:topLinePunct w:val="0"/>
        <w:bidi w:val="0"/>
        <w:adjustRightInd/>
        <w:snapToGrid/>
        <w:spacing w:line="560" w:lineRule="exact"/>
        <w:ind w:left="0"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以政治建设为统领，构建高质量党建工作体系</w:t>
      </w:r>
    </w:p>
    <w:p w14:paraId="663E5927">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（一）切实加强党的领导。</w:t>
      </w:r>
      <w:r>
        <w:rPr>
          <w:rFonts w:hint="eastAsia" w:ascii="仿宋" w:hAnsi="仿宋" w:eastAsia="仿宋" w:cs="仿宋"/>
          <w:sz w:val="32"/>
          <w:szCs w:val="32"/>
          <w:highlight w:val="none"/>
          <w:lang w:val="en-US" w:eastAsia="zh-CN"/>
        </w:rPr>
        <w:t>坚持把政治建设放在首位，发挥党委领导核心作用，将党的领导贯穿办学治校、育人育才全过程。持续加强党的创新理论武装，深刻领悟“两个确立”的决定性意义、坚决做到“两个维护”，强化推进教育强国建设的政治担当。严格执行党委领导下的校长负责制，贯彻执行民主集中制，规范领导班子议事规则和决策程序，推进二级系（院、部）党政联席会议制度落实，建立健全重要事项督查督办工作机制，确保上级决策部署和工作要求落地见效。强化党建与中心工作深度融合互促，以党建结对共建推动政产学研用合作，深入实施“换位跑一次”行动和“党建解难题 奋进促发展”实践活动，改进作风效能，提升党建质效。</w:t>
      </w:r>
    </w:p>
    <w:p w14:paraId="6A6FE507">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（二）夯实基层党建基础。</w:t>
      </w:r>
      <w:r>
        <w:rPr>
          <w:rFonts w:hint="eastAsia" w:ascii="仿宋" w:hAnsi="仿宋" w:eastAsia="仿宋" w:cs="仿宋"/>
          <w:sz w:val="32"/>
          <w:szCs w:val="32"/>
          <w:highlight w:val="none"/>
          <w:lang w:val="en-US" w:eastAsia="zh-CN"/>
        </w:rPr>
        <w:t>持续推进基层党支部标准化、规范化建设，筹备成立马克思主义学院支部。发挥“双带头人”作用，注重“双向培养”，主动引导中青年学术骨干等优秀人才向党组织靠拢。提高党员队伍建设质量和教育培训成效，落实《全国党员教育培训工作规划（2024－2028年）》，组织党员干部能力提升培训。坚持以党建引领统战、群团和离退休工作，加强党外人士队伍建设和离退休党建工作，推进二级关工委建设。加强意识形态阵地建设，持续完善协同联动的意识形态工作格局，每季度开展意识形态研判，探索数字化赋能宣传思想工作新路径，推出一批有影响力的宣传作品。</w:t>
      </w:r>
    </w:p>
    <w:p w14:paraId="5A522F13">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（三）压实管党治党责任。</w:t>
      </w:r>
      <w:r>
        <w:rPr>
          <w:rFonts w:hint="eastAsia" w:ascii="仿宋" w:hAnsi="仿宋" w:eastAsia="仿宋" w:cs="仿宋"/>
          <w:sz w:val="32"/>
          <w:szCs w:val="32"/>
          <w:highlight w:val="none"/>
          <w:lang w:val="en-US" w:eastAsia="zh-CN"/>
        </w:rPr>
        <w:t>坚定不移纵深推进全面从严治党，制定落实全面从严治党工作要点，深化全面从严治党“四责协同”机制。聚焦“关键少数”，突出对党员领导干部监督、对巡察整改落实情况监督、对师德师风的监督，加强党员干部“八小时以外”监督管理，分层分类扎实开展谈心谈话。严格精准监督执纪问责，抓好重点领域廉政风险防控。推进廉洁校园建设走深走实，坚持以案为鉴、以人为鉴、以事为鉴，持续开展贯穿全年的党纪学习教育，扎实推进深入贯彻中央八项规定精神学习教育，针对性开展警示教育、专项整治，持续完善制度建设，强化内控管理，营造风清气正的良好校园生态。</w:t>
      </w:r>
    </w:p>
    <w:p w14:paraId="51BB11D4">
      <w:pPr>
        <w:keepNext w:val="0"/>
        <w:keepLines w:val="0"/>
        <w:pageBreakBefore w:val="0"/>
        <w:numPr>
          <w:ilvl w:val="0"/>
          <w:numId w:val="1"/>
        </w:numPr>
        <w:kinsoku/>
        <w:wordWrap/>
        <w:topLinePunct w:val="0"/>
        <w:bidi w:val="0"/>
        <w:adjustRightInd/>
        <w:snapToGrid/>
        <w:spacing w:line="560" w:lineRule="exact"/>
        <w:ind w:left="0"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以内涵建设为抓手，持续激发办学育人活力</w:t>
      </w:r>
    </w:p>
    <w:p w14:paraId="52DBD6F1">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（四）全面谋划学校发展规划。</w:t>
      </w:r>
      <w:r>
        <w:rPr>
          <w:rFonts w:hint="eastAsia" w:ascii="仿宋" w:hAnsi="仿宋" w:eastAsia="仿宋" w:cs="仿宋"/>
          <w:sz w:val="32"/>
          <w:szCs w:val="32"/>
          <w:highlight w:val="none"/>
          <w:lang w:val="en-US" w:eastAsia="zh-CN"/>
        </w:rPr>
        <w:t>加快推进学校“十四五”事业发展规划的实施和验收工作，强化过程管理，高质高效确保重点任务、关键指标落地见效，认真总结“十四五”规划实施的经验和不足，为新一轮规划编制提供有效参考。结合贯彻落实教育强国建设规划纲要和学校第一次党员大会战略部署，谋划启动“十五五”规划预研，深入开展调查研究，凝练“十五五”发展总体目标，谋划重点改革事项，启动学校“十五五”事业发展规划编制工作。发挥规划编制工作引领作用，充分发挥规划战略导向作用，强化各项分规划的支撑作用，深入推进学校各项事业高质量发展。</w:t>
      </w:r>
    </w:p>
    <w:p w14:paraId="638EAEB7">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（五）不断优化专业结构布局。</w:t>
      </w:r>
      <w:r>
        <w:rPr>
          <w:rFonts w:hint="eastAsia" w:ascii="仿宋" w:hAnsi="仿宋" w:eastAsia="仿宋" w:cs="仿宋"/>
          <w:sz w:val="32"/>
          <w:szCs w:val="32"/>
          <w:highlight w:val="none"/>
          <w:lang w:val="en-US" w:eastAsia="zh-CN"/>
        </w:rPr>
        <w:t>积极创新办学思路，聚焦0-8岁儿童教育，明晰“做精学前教育专业群，做特婴幼儿托育服务与管理、特殊教育专业，做优艺术类专业”发展方向，推动品牌专业上水平、追卓越。细分专业发展方向，紧密对接苏州城市产业发展需求和“一老一小”发展战略，加快新兴专业布局，加强智慧养老服务等拟新设专业的调研、论证工作。有序推进播音与主持、工艺美术品设计2个新专业建设，做好艺术系分设和音乐教育系、艺术设计系筹建工作。根据社会需求，修订完善各专业人才培养方案，推进应用型人才培养模式改革，推动各系（部）教学质量和人才培养质量提档升级。</w:t>
      </w:r>
    </w:p>
    <w:p w14:paraId="53721FC5">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（六）持续深化教学内涵建设。</w:t>
      </w:r>
      <w:r>
        <w:rPr>
          <w:rFonts w:hint="eastAsia" w:ascii="仿宋" w:hAnsi="仿宋" w:eastAsia="仿宋" w:cs="仿宋"/>
          <w:sz w:val="32"/>
          <w:szCs w:val="32"/>
          <w:highlight w:val="none"/>
          <w:lang w:val="en-US" w:eastAsia="zh-CN"/>
        </w:rPr>
        <w:t>对照教育部新印发的《高等职业学校办学能力评价实施方案（2025-2030年）》，坚持产教融合、校企合作，持续构建产教供需对接机制。积极发挥苏州托育服务、特殊教育产教融合共同体作用，持续加大托育、特教等专业产教融合力度。加强校内外高水平实训基地建设，拓展优质校外实训基地，在艺术设计系试点开展产业学院建设探索。完善专业教学资源库建设，加快建设试题库、案例库、素材库等教学资源，建设一批在线精品课程。开展教师数字化教学能力研训内容，支持AI赋能智慧课堂教学探索。落实学校《师生技能竞赛管理与奖励办法》，将技能竞赛作为深化教育教学改革、提升人才培养质量的重要抓手，力争在省市级赛事中争先进位、国家级赛事中实现突破。</w:t>
      </w:r>
    </w:p>
    <w:p w14:paraId="08A07C5A">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（七）着力提升人才培养层次。</w:t>
      </w:r>
      <w:r>
        <w:rPr>
          <w:rFonts w:hint="eastAsia" w:ascii="仿宋" w:hAnsi="仿宋" w:eastAsia="仿宋" w:cs="仿宋"/>
          <w:sz w:val="32"/>
          <w:szCs w:val="32"/>
          <w:highlight w:val="none"/>
          <w:lang w:val="en-US" w:eastAsia="zh-CN"/>
        </w:rPr>
        <w:t>持续深化与苏州工学院、二师院、苏科大等本科院校合作开展5+2、3+2人才贯通培养，加强与本科段高校的合作洽谈，力争进一步扩大项目招生规模、提升项目培养质效。深化新教育“卓越师范生培养项目”进程，坚持服务需求，深化协同育人，贯通职前职后，全面引领师范生培养改革发展。配强专转本考试辅导师资，加大辅导培训力度，不断优化课堂教学、学生管理等方面，有效服务学生备考升学。优化与加拿大乔治布朗学院“4+1”学历对接项目，做好与韩国大邱加图立大学“5+2/3+1”学历提升项目，不断拓展我校学生海外学历提升渠道，充分发挥“创新人才联合培养基地”作用。</w:t>
      </w:r>
    </w:p>
    <w:p w14:paraId="67C7192F">
      <w:pPr>
        <w:keepNext w:val="0"/>
        <w:keepLines w:val="0"/>
        <w:pageBreakBefore w:val="0"/>
        <w:numPr>
          <w:ilvl w:val="0"/>
          <w:numId w:val="1"/>
        </w:numPr>
        <w:kinsoku/>
        <w:wordWrap/>
        <w:topLinePunct w:val="0"/>
        <w:bidi w:val="0"/>
        <w:adjustRightInd/>
        <w:snapToGrid/>
        <w:spacing w:line="560" w:lineRule="exact"/>
        <w:ind w:left="0"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以人才强校为驱动，建强高水平人才师资队伍</w:t>
      </w:r>
    </w:p>
    <w:p w14:paraId="61129149">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（八）持续推进师德师风建设。</w:t>
      </w:r>
      <w:r>
        <w:rPr>
          <w:rFonts w:hint="eastAsia" w:ascii="仿宋" w:hAnsi="仿宋" w:eastAsia="仿宋" w:cs="仿宋"/>
          <w:sz w:val="32"/>
          <w:szCs w:val="32"/>
          <w:highlight w:val="none"/>
          <w:lang w:val="en-US" w:eastAsia="zh-CN"/>
        </w:rPr>
        <w:t>完善教师思想政治和师德师风建设工作体制机制，坚持把师德作为教师评价的第一标准，在教师全过程管理中强化师德考察，进一步完善并落实在招聘引进、聘期考核、职称评审、评奖评优等环节中的思想政治与师德考察。全面落实教育家精神铸魂强师行动，实施师德教育“第一课”和教师理论学习制度，将师德师风和思政教育培训学时作为教师岗前培训和继续教育“硬指标”。厚植尊师重教文化，完善优秀教师激励奖励制度，多渠道开展教师优秀典型创新宣传工作，增强全校教师职业认同感。</w:t>
      </w:r>
    </w:p>
    <w:p w14:paraId="0C50F990">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（九）持续加大高层次人才引育力度。</w:t>
      </w:r>
      <w:r>
        <w:rPr>
          <w:rFonts w:hint="eastAsia" w:ascii="仿宋" w:hAnsi="仿宋" w:eastAsia="仿宋" w:cs="仿宋"/>
          <w:sz w:val="32"/>
          <w:szCs w:val="32"/>
          <w:highlight w:val="none"/>
          <w:lang w:val="en-US" w:eastAsia="zh-CN"/>
        </w:rPr>
        <w:t>以学校发展和学科专业需求为导向，加大力度引育优秀人才，加强高层次人才工作的前瞻性研究，做好专任教师、辅导员招聘工作，持续强化人才集聚效应，提高教师队伍质量。完善中青年人才队伍发展支撑体系，分层次开展教师教学能力培训，重点开展教师数字化素养提升专项培训，推进与江苏第二师范学院签订的《教师专业能力提升研究》横向科研项目，提高教师专业素养和科研能力。更新职称评审专家库，规范做好2025年教师职称评审。</w:t>
      </w:r>
    </w:p>
    <w:p w14:paraId="64E282F0">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（十）持续推动教科研水平提升。</w:t>
      </w:r>
      <w:r>
        <w:rPr>
          <w:rFonts w:hint="eastAsia" w:ascii="仿宋" w:hAnsi="仿宋" w:eastAsia="仿宋" w:cs="仿宋"/>
          <w:sz w:val="32"/>
          <w:szCs w:val="32"/>
          <w:highlight w:val="none"/>
          <w:lang w:val="en-US" w:eastAsia="zh-CN"/>
        </w:rPr>
        <w:t>深化科研管理模式改革，实施科研目标管理、分类评价，修订《期刊认定办法》《科研经费管理办法》等，激发全校科研创新活力。提高教师参与科研活动的比例，力争全年科研培训、学术沙龙覆盖教师超过80%，独立申报省市科研项目教师占比超25%。培育高水平校级科研团队，开展第一批校级科研团队中期考核，新组建科研团队不少于3个。发挥好特聘教授、行业导师及教师工作站的专业引领作用。提升产学研一体化建设效能，推进与幼儿园、托育机构和企事业单位合作，争取立项横向课题不少于5项，为企事业单位提供技术服务不少于10人次。推进标志性成果产出转化，发动教师积极申报教育部人文社科项目、省社科基金项目等，力争获批授权实用新型专利不少于2项。加强智库建设，提高决策咨询报告撰写质量。</w:t>
      </w:r>
    </w:p>
    <w:p w14:paraId="4A2FD386">
      <w:pPr>
        <w:keepNext w:val="0"/>
        <w:keepLines w:val="0"/>
        <w:pageBreakBefore w:val="0"/>
        <w:numPr>
          <w:ilvl w:val="0"/>
          <w:numId w:val="1"/>
        </w:numPr>
        <w:kinsoku/>
        <w:wordWrap/>
        <w:topLinePunct w:val="0"/>
        <w:bidi w:val="0"/>
        <w:adjustRightInd/>
        <w:snapToGrid/>
        <w:spacing w:line="560" w:lineRule="exact"/>
        <w:ind w:left="0"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以服务社会为支撑，提升开放办学质量水平</w:t>
      </w:r>
    </w:p>
    <w:p w14:paraId="2E97ED19">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（十一）推进“校-园”融合高质量发展。</w:t>
      </w:r>
      <w:r>
        <w:rPr>
          <w:rFonts w:hint="eastAsia" w:ascii="仿宋" w:hAnsi="仿宋" w:eastAsia="仿宋" w:cs="仿宋"/>
          <w:sz w:val="32"/>
          <w:szCs w:val="32"/>
          <w:highlight w:val="none"/>
          <w:lang w:val="en-US" w:eastAsia="zh-CN"/>
        </w:rPr>
        <w:t>持续强化师范部与附属幼儿园协同合作，依托“校-园”融合高质量发展共同体，在师资共享、课程建设、科研探索等方面加强双向融合。提高附幼课程建设水平，定期选派专任教师指导幼儿园课程建设，邀请南师大、江苏二师院等本科院校专家实地指导、评估课程。持续推进“托幼一体化”办园模式探索，扩大托班开办规模，提高附幼各园教师中取得托育师、育婴师资质人数占比。落实市委编办调整学校内设机构批复文件精神，有序做好花朵、教育附属幼儿园资产办证、法人证书办理工作。筹划做好教育幼儿园与工业园区教育局续签合作协议。充分发挥附幼辐射引领作用，持续扩大教科研成果及办园成效的影响力和美誉度。</w:t>
      </w:r>
    </w:p>
    <w:p w14:paraId="37228787">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（十二）着力提升社会培训质量。</w:t>
      </w:r>
      <w:r>
        <w:rPr>
          <w:rFonts w:hint="eastAsia" w:ascii="仿宋" w:hAnsi="仿宋" w:eastAsia="仿宋" w:cs="仿宋"/>
          <w:sz w:val="32"/>
          <w:szCs w:val="32"/>
          <w:highlight w:val="none"/>
          <w:lang w:val="en-US" w:eastAsia="zh-CN"/>
        </w:rPr>
        <w:t>稳步发展学历继续教育，做好盐城师范学院自学助考本科、南京师范大学函授本科教学管理及考试、毕业工作。提高非学历继续教育的市场适应性与竞争力，继续面向在校生提供保育师职业技能资格证书培训，完善学生基础素质证书考级服务，增加新设专业学生专业能力证书考证服务。高质量办好托育机构负责人培训等社会培训，提增教师培训品牌效益。按照“高质量、高标准、零差错”目标，提高社会化考试承接和组织水平，精心做好全国计算机等级考试、幼儿园教师资格考试（笔试、面试）组考工作。</w:t>
      </w:r>
    </w:p>
    <w:p w14:paraId="50DDB3E8">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（十三）积极拓展对外交流合作。</w:t>
      </w:r>
      <w:r>
        <w:rPr>
          <w:rFonts w:hint="eastAsia" w:ascii="仿宋" w:hAnsi="仿宋" w:eastAsia="仿宋" w:cs="仿宋"/>
          <w:sz w:val="32"/>
          <w:szCs w:val="32"/>
          <w:highlight w:val="none"/>
          <w:lang w:val="en-US" w:eastAsia="zh-CN"/>
        </w:rPr>
        <w:t>巩固海外华文教育品牌，推动“百所华校云牵手”“网上外派教师”项目优化提质，打造一支经验丰富、水平高超的华文教育师资队伍。深化中外人文交流，开拓香港耀中幼教学院等师生海外研学、学术交流渠道，提升师生跨文化交流能力。落实“职教出海”要求，开发坦桑尼亚“国家婴幼儿托育师NTA4婴幼儿生活照料与护理”课程标准和数字化课程资源，以标准引领和提高合作国家人才培养总体质量。与中非（南）联盟、马来西亚国际文化交流中心和中北非国际教育创新联盟等多家机构深化合作，开展“中文+职业技能”培训探索。深化在地国际化创新发展，举办国际理解教育主题校园活动，组织师生走进苏州当地国际幼儿园，探索兼具本土根基与国际视野的师范生培养路径。</w:t>
      </w:r>
    </w:p>
    <w:p w14:paraId="1DBE0962">
      <w:pPr>
        <w:keepNext w:val="0"/>
        <w:keepLines w:val="0"/>
        <w:pageBreakBefore w:val="0"/>
        <w:numPr>
          <w:ilvl w:val="0"/>
          <w:numId w:val="1"/>
        </w:numPr>
        <w:kinsoku/>
        <w:wordWrap/>
        <w:topLinePunct w:val="0"/>
        <w:bidi w:val="0"/>
        <w:adjustRightInd/>
        <w:snapToGrid/>
        <w:spacing w:line="560" w:lineRule="exact"/>
        <w:ind w:left="0"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以立德树人为根本，深化提升思政工作实效</w:t>
      </w:r>
    </w:p>
    <w:p w14:paraId="0CFDE289">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（十四）健全“大思政”工作体系。</w:t>
      </w:r>
      <w:r>
        <w:rPr>
          <w:rFonts w:hint="eastAsia" w:ascii="仿宋" w:hAnsi="仿宋" w:eastAsia="仿宋" w:cs="仿宋"/>
          <w:sz w:val="32"/>
          <w:szCs w:val="32"/>
          <w:highlight w:val="none"/>
          <w:lang w:val="en-US" w:eastAsia="zh-CN"/>
        </w:rPr>
        <w:t>强化思想政治教育，推进新时代立德树人工程，持续提升思政课教学质量，不断健全和完善思政课实践教学体系。注重思想引领与时代特征深度融合，深入实施“信仰公开课”“青年大学习”“苏幼大讲堂”等，组织开展“行走的思政课”活动，制定《加强新时代思想政治理论课教师队伍建设实施方案》。常态化开展“苏幼青年说 奋进我来讲”等党的创新理论宣讲活动，不断充实青年宣讲团讲师力量。大力推进“青马工程”，完善培养内容，探索“青马工程”与推优入党融合机制。抓好仪式教育，利用开学典礼、入学教育、主题党团日等重大节点，系统谋划，组织开展富有时代感、具有苏幼特色、师生参与性强、符合现代传播特点的群众性校园文化活动，做好征兵和国防教育工作，筑牢青年学生的理想信念根基。</w:t>
      </w:r>
    </w:p>
    <w:p w14:paraId="40E1781C">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eastAsia="zh-CN"/>
        </w:rPr>
      </w:pPr>
      <w:r>
        <w:rPr>
          <w:rFonts w:hint="eastAsia" w:ascii="楷体" w:hAnsi="楷体" w:eastAsia="楷体" w:cs="楷体"/>
          <w:b w:val="0"/>
          <w:bCs w:val="0"/>
          <w:sz w:val="32"/>
          <w:szCs w:val="32"/>
          <w:highlight w:val="none"/>
          <w:lang w:val="en-US" w:eastAsia="zh-CN"/>
        </w:rPr>
        <w:t>（十五）实施“照怀+”育人工程。</w:t>
      </w:r>
      <w:r>
        <w:rPr>
          <w:rFonts w:hint="eastAsia" w:ascii="仿宋" w:hAnsi="仿宋" w:eastAsia="仿宋" w:cs="仿宋"/>
          <w:sz w:val="32"/>
          <w:szCs w:val="32"/>
          <w:highlight w:val="none"/>
          <w:lang w:val="en-US" w:eastAsia="zh-CN"/>
        </w:rPr>
        <w:t>坚持五育并举，落实三全育人，</w:t>
      </w:r>
      <w:r>
        <w:rPr>
          <w:rFonts w:hint="eastAsia" w:ascii="仿宋" w:hAnsi="仿宋" w:eastAsia="仿宋" w:cs="仿宋"/>
          <w:sz w:val="32"/>
          <w:szCs w:val="32"/>
          <w:highlight w:val="none"/>
          <w:lang w:eastAsia="zh-CN"/>
        </w:rPr>
        <w:t>不断提高服务青年学生成长成才能力</w:t>
      </w:r>
      <w:r>
        <w:rPr>
          <w:rFonts w:hint="eastAsia" w:ascii="仿宋" w:hAnsi="仿宋" w:eastAsia="仿宋" w:cs="仿宋"/>
          <w:sz w:val="32"/>
          <w:szCs w:val="32"/>
          <w:highlight w:val="none"/>
          <w:lang w:val="en-US" w:eastAsia="zh-CN"/>
        </w:rPr>
        <w:t>。实施心理健康导航计划，加强专兼职心理健康队伍建设，修订心理危机干预预案与操作指南，持续完善“校医家社”联合工作机制和五级心理预警防护体系建设，定期开展心理健康普查。深化</w:t>
      </w:r>
      <w:r>
        <w:rPr>
          <w:rFonts w:hint="eastAsia" w:ascii="仿宋" w:hAnsi="仿宋" w:eastAsia="仿宋" w:cs="仿宋"/>
          <w:sz w:val="32"/>
          <w:szCs w:val="32"/>
          <w:highlight w:val="none"/>
          <w:lang w:eastAsia="zh-CN"/>
        </w:rPr>
        <w:t>资助</w:t>
      </w:r>
      <w:r>
        <w:rPr>
          <w:rFonts w:hint="eastAsia" w:ascii="仿宋" w:hAnsi="仿宋" w:eastAsia="仿宋" w:cs="仿宋"/>
          <w:sz w:val="32"/>
          <w:szCs w:val="32"/>
          <w:highlight w:val="none"/>
          <w:lang w:val="en-US" w:eastAsia="zh-CN"/>
        </w:rPr>
        <w:t>育人</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统筹推进保障型和发展型育人，制定学校发展型资助育人工作方案，修订国家奖助学金评审办法，</w:t>
      </w:r>
      <w:r>
        <w:rPr>
          <w:rFonts w:hint="eastAsia" w:ascii="仿宋" w:hAnsi="仿宋" w:eastAsia="仿宋" w:cs="仿宋"/>
          <w:sz w:val="32"/>
          <w:szCs w:val="32"/>
          <w:highlight w:val="none"/>
          <w:lang w:eastAsia="zh-CN"/>
        </w:rPr>
        <w:t>加强对资助政策、工作流程等方面的</w:t>
      </w:r>
      <w:r>
        <w:rPr>
          <w:rFonts w:hint="eastAsia" w:ascii="仿宋" w:hAnsi="仿宋" w:eastAsia="仿宋" w:cs="仿宋"/>
          <w:sz w:val="32"/>
          <w:szCs w:val="32"/>
          <w:highlight w:val="none"/>
          <w:lang w:val="en-US" w:eastAsia="zh-CN"/>
        </w:rPr>
        <w:t>研究</w:t>
      </w:r>
      <w:r>
        <w:rPr>
          <w:rFonts w:hint="eastAsia" w:ascii="仿宋" w:hAnsi="仿宋" w:eastAsia="仿宋" w:cs="仿宋"/>
          <w:sz w:val="32"/>
          <w:szCs w:val="32"/>
          <w:highlight w:val="none"/>
          <w:lang w:eastAsia="zh-CN"/>
        </w:rPr>
        <w:t>，提高资助工作精准度和实效性。立足引培并重，抓好</w:t>
      </w:r>
      <w:r>
        <w:rPr>
          <w:rFonts w:hint="eastAsia" w:ascii="仿宋" w:hAnsi="仿宋" w:eastAsia="仿宋" w:cs="仿宋"/>
          <w:sz w:val="32"/>
          <w:szCs w:val="32"/>
          <w:highlight w:val="none"/>
          <w:lang w:val="en-US" w:eastAsia="zh-CN"/>
        </w:rPr>
        <w:t>学生工作</w:t>
      </w:r>
      <w:r>
        <w:rPr>
          <w:rFonts w:hint="eastAsia" w:ascii="仿宋" w:hAnsi="仿宋" w:eastAsia="仿宋" w:cs="仿宋"/>
          <w:sz w:val="32"/>
          <w:szCs w:val="32"/>
          <w:highlight w:val="none"/>
          <w:lang w:eastAsia="zh-CN"/>
        </w:rPr>
        <w:t>队伍建设，</w:t>
      </w:r>
      <w:r>
        <w:rPr>
          <w:rFonts w:hint="eastAsia" w:ascii="仿宋" w:hAnsi="仿宋" w:eastAsia="仿宋" w:cs="仿宋"/>
          <w:sz w:val="32"/>
          <w:szCs w:val="32"/>
          <w:highlight w:val="none"/>
          <w:lang w:val="en-US" w:eastAsia="zh-CN"/>
        </w:rPr>
        <w:t>按要求</w:t>
      </w:r>
      <w:r>
        <w:rPr>
          <w:rFonts w:hint="eastAsia" w:ascii="仿宋" w:hAnsi="仿宋" w:eastAsia="仿宋" w:cs="仿宋"/>
          <w:sz w:val="32"/>
          <w:szCs w:val="32"/>
          <w:highlight w:val="none"/>
          <w:lang w:eastAsia="zh-CN"/>
        </w:rPr>
        <w:t>配齐专职辅导员，</w:t>
      </w:r>
      <w:r>
        <w:rPr>
          <w:rFonts w:hint="eastAsia" w:ascii="仿宋" w:hAnsi="仿宋" w:eastAsia="仿宋" w:cs="仿宋"/>
          <w:sz w:val="32"/>
          <w:szCs w:val="32"/>
          <w:highlight w:val="none"/>
          <w:lang w:val="en-US" w:eastAsia="zh-CN"/>
        </w:rPr>
        <w:t>推进</w:t>
      </w:r>
      <w:r>
        <w:rPr>
          <w:rFonts w:hint="eastAsia" w:ascii="仿宋" w:hAnsi="仿宋" w:eastAsia="仿宋" w:cs="仿宋"/>
          <w:sz w:val="32"/>
          <w:szCs w:val="32"/>
          <w:highlight w:val="none"/>
          <w:lang w:eastAsia="zh-CN"/>
        </w:rPr>
        <w:t>第一批辅导员、班主任工作室</w:t>
      </w:r>
      <w:r>
        <w:rPr>
          <w:rFonts w:hint="eastAsia" w:ascii="仿宋" w:hAnsi="仿宋" w:eastAsia="仿宋" w:cs="仿宋"/>
          <w:sz w:val="32"/>
          <w:szCs w:val="32"/>
          <w:highlight w:val="none"/>
          <w:lang w:val="en-US" w:eastAsia="zh-CN"/>
        </w:rPr>
        <w:t>建设</w:t>
      </w:r>
      <w:r>
        <w:rPr>
          <w:rFonts w:hint="eastAsia" w:ascii="仿宋" w:hAnsi="仿宋" w:eastAsia="仿宋" w:cs="仿宋"/>
          <w:sz w:val="32"/>
          <w:szCs w:val="32"/>
          <w:highlight w:val="none"/>
          <w:lang w:eastAsia="zh-CN"/>
        </w:rPr>
        <w:t>，打造专业化、专家型辅导员、班主任团队。聚焦社会需求，</w:t>
      </w:r>
      <w:r>
        <w:rPr>
          <w:rFonts w:hint="eastAsia" w:ascii="仿宋" w:hAnsi="仿宋" w:eastAsia="仿宋" w:cs="仿宋"/>
          <w:sz w:val="32"/>
          <w:szCs w:val="32"/>
          <w:highlight w:val="none"/>
        </w:rPr>
        <w:t>优化招生工作方案，持续稳定招生规模，精准投放招生计划，提高招生宣传实效</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充分调动各方力量，多措并举</w:t>
      </w:r>
      <w:r>
        <w:rPr>
          <w:rFonts w:hint="eastAsia" w:ascii="仿宋" w:hAnsi="仿宋" w:eastAsia="仿宋" w:cs="仿宋"/>
          <w:sz w:val="32"/>
          <w:szCs w:val="32"/>
          <w:highlight w:val="none"/>
          <w:lang w:val="en-US" w:eastAsia="zh-CN"/>
        </w:rPr>
        <w:t>促就业，</w:t>
      </w:r>
      <w:r>
        <w:rPr>
          <w:rFonts w:hint="eastAsia" w:ascii="仿宋" w:hAnsi="仿宋" w:eastAsia="仿宋" w:cs="仿宋"/>
          <w:sz w:val="32"/>
          <w:szCs w:val="32"/>
          <w:highlight w:val="none"/>
        </w:rPr>
        <w:t>通过访企拓岗</w:t>
      </w:r>
      <w:r>
        <w:rPr>
          <w:rFonts w:hint="eastAsia" w:ascii="仿宋" w:hAnsi="仿宋" w:eastAsia="仿宋" w:cs="仿宋"/>
          <w:sz w:val="32"/>
          <w:szCs w:val="32"/>
          <w:highlight w:val="none"/>
          <w:lang w:val="en-US" w:eastAsia="zh-CN"/>
        </w:rPr>
        <w:t>等</w:t>
      </w:r>
      <w:r>
        <w:rPr>
          <w:rFonts w:hint="eastAsia" w:ascii="仿宋" w:hAnsi="仿宋" w:eastAsia="仿宋" w:cs="仿宋"/>
          <w:sz w:val="32"/>
          <w:szCs w:val="32"/>
          <w:highlight w:val="none"/>
        </w:rPr>
        <w:t>深度了解行业企业的人才需求</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精准做好就业创业指导服务，促进毕业生高质量充分就业</w:t>
      </w:r>
      <w:r>
        <w:rPr>
          <w:rFonts w:hint="eastAsia" w:ascii="仿宋" w:hAnsi="仿宋" w:eastAsia="仿宋" w:cs="仿宋"/>
          <w:sz w:val="32"/>
          <w:szCs w:val="32"/>
          <w:highlight w:val="none"/>
          <w:lang w:eastAsia="zh-CN"/>
        </w:rPr>
        <w:t>。</w:t>
      </w:r>
    </w:p>
    <w:p w14:paraId="01733170">
      <w:pPr>
        <w:keepNext w:val="0"/>
        <w:keepLines w:val="0"/>
        <w:pageBreakBefore w:val="0"/>
        <w:kinsoku/>
        <w:wordWrap/>
        <w:topLinePunct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eastAsia="zh-CN"/>
        </w:rPr>
      </w:pPr>
      <w:r>
        <w:rPr>
          <w:rFonts w:hint="eastAsia" w:ascii="楷体" w:hAnsi="楷体" w:eastAsia="楷体" w:cs="楷体"/>
          <w:b w:val="0"/>
          <w:bCs w:val="0"/>
          <w:sz w:val="32"/>
          <w:szCs w:val="32"/>
          <w:highlight w:val="none"/>
          <w:lang w:val="en-US" w:eastAsia="zh-CN"/>
        </w:rPr>
        <w:t>（十六）强化实践育人效能。</w:t>
      </w:r>
      <w:r>
        <w:rPr>
          <w:rFonts w:hint="eastAsia" w:ascii="仿宋" w:hAnsi="仿宋" w:eastAsia="仿宋" w:cs="仿宋"/>
          <w:sz w:val="32"/>
          <w:szCs w:val="32"/>
          <w:highlight w:val="none"/>
        </w:rPr>
        <w:t>全面提升“第二课堂”成绩单制度育人功能</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修订完善第二课堂成绩单制度，</w:t>
      </w:r>
      <w:r>
        <w:rPr>
          <w:rFonts w:hint="eastAsia" w:ascii="仿宋" w:hAnsi="仿宋" w:eastAsia="仿宋" w:cs="仿宋"/>
          <w:sz w:val="32"/>
          <w:szCs w:val="32"/>
          <w:highlight w:val="none"/>
        </w:rPr>
        <w:t>嵌入青年发展重点项目，</w:t>
      </w:r>
      <w:r>
        <w:rPr>
          <w:rFonts w:hint="eastAsia" w:ascii="仿宋" w:hAnsi="仿宋" w:eastAsia="仿宋" w:cs="仿宋"/>
          <w:sz w:val="32"/>
          <w:szCs w:val="32"/>
          <w:highlight w:val="none"/>
          <w:lang w:val="en-US" w:eastAsia="zh-CN"/>
        </w:rPr>
        <w:t>优化</w:t>
      </w:r>
      <w:r>
        <w:rPr>
          <w:rFonts w:hint="eastAsia" w:ascii="仿宋" w:hAnsi="仿宋" w:eastAsia="仿宋" w:cs="仿宋"/>
          <w:sz w:val="32"/>
          <w:szCs w:val="32"/>
          <w:highlight w:val="none"/>
        </w:rPr>
        <w:t>学分</w:t>
      </w:r>
      <w:r>
        <w:rPr>
          <w:rFonts w:hint="eastAsia" w:ascii="仿宋" w:hAnsi="仿宋" w:eastAsia="仿宋" w:cs="仿宋"/>
          <w:sz w:val="32"/>
          <w:szCs w:val="32"/>
          <w:highlight w:val="none"/>
          <w:lang w:val="en-US" w:eastAsia="zh-CN"/>
        </w:rPr>
        <w:t>供给</w:t>
      </w:r>
      <w:r>
        <w:rPr>
          <w:rFonts w:hint="eastAsia" w:ascii="仿宋" w:hAnsi="仿宋" w:eastAsia="仿宋" w:cs="仿宋"/>
          <w:sz w:val="32"/>
          <w:szCs w:val="32"/>
          <w:highlight w:val="none"/>
        </w:rPr>
        <w:t>，积极探索成绩单的价值应用体系。优化大学生艺术团和学生社团</w:t>
      </w:r>
      <w:r>
        <w:rPr>
          <w:rFonts w:hint="eastAsia" w:ascii="仿宋" w:hAnsi="仿宋" w:eastAsia="仿宋" w:cs="仿宋"/>
          <w:sz w:val="32"/>
          <w:szCs w:val="32"/>
          <w:highlight w:val="none"/>
          <w:lang w:val="en-US" w:eastAsia="zh-CN"/>
        </w:rPr>
        <w:t>建设</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继续积极推进</w:t>
      </w:r>
      <w:r>
        <w:rPr>
          <w:rFonts w:hint="eastAsia" w:ascii="仿宋" w:hAnsi="仿宋" w:eastAsia="仿宋" w:cs="仿宋"/>
          <w:sz w:val="32"/>
          <w:szCs w:val="32"/>
          <w:highlight w:val="none"/>
        </w:rPr>
        <w:t>省级大学生艺术团</w:t>
      </w:r>
      <w:r>
        <w:rPr>
          <w:rFonts w:hint="eastAsia" w:ascii="仿宋" w:hAnsi="仿宋" w:eastAsia="仿宋" w:cs="仿宋"/>
          <w:sz w:val="32"/>
          <w:szCs w:val="32"/>
          <w:highlight w:val="none"/>
          <w:lang w:val="en-US" w:eastAsia="zh-CN"/>
        </w:rPr>
        <w:t>申报</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推动学生社团活动的课程化、项目化。积极构建“文化、实践、科创、服务”育人体系</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凝练志愿服务创新项目，积极争取参加省志愿者交流展示会</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项目化开展寒</w:t>
      </w:r>
      <w:r>
        <w:rPr>
          <w:rFonts w:hint="eastAsia" w:ascii="仿宋" w:hAnsi="仿宋" w:eastAsia="仿宋" w:cs="仿宋"/>
          <w:sz w:val="32"/>
          <w:szCs w:val="32"/>
          <w:highlight w:val="none"/>
        </w:rPr>
        <w:t>暑期社会实践</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做好省、校两级创新创业训练立项项目的过程管理，加强对项目执行的指导。</w:t>
      </w:r>
      <w:r>
        <w:rPr>
          <w:rStyle w:val="19"/>
          <w:rFonts w:hint="eastAsia" w:ascii="仿宋" w:hAnsi="仿宋" w:eastAsia="仿宋" w:cs="仿宋"/>
          <w:sz w:val="32"/>
          <w:szCs w:val="32"/>
          <w:highlight w:val="none"/>
          <w:lang w:val="en-US" w:eastAsia="zh-CN"/>
        </w:rPr>
        <w:t>深入推进</w:t>
      </w:r>
      <w:r>
        <w:rPr>
          <w:rStyle w:val="19"/>
          <w:rFonts w:hint="eastAsia" w:ascii="仿宋" w:hAnsi="仿宋" w:eastAsia="仿宋" w:cs="仿宋"/>
          <w:sz w:val="32"/>
          <w:szCs w:val="32"/>
          <w:highlight w:val="none"/>
        </w:rPr>
        <w:t>“书香校园”建设</w:t>
      </w:r>
      <w:r>
        <w:rPr>
          <w:rStyle w:val="19"/>
          <w:rFonts w:hint="eastAsia" w:ascii="仿宋" w:hAnsi="仿宋" w:eastAsia="仿宋" w:cs="仿宋"/>
          <w:sz w:val="32"/>
          <w:szCs w:val="32"/>
          <w:highlight w:val="none"/>
          <w:lang w:eastAsia="zh-CN"/>
        </w:rPr>
        <w:t>，</w:t>
      </w:r>
      <w:r>
        <w:rPr>
          <w:rStyle w:val="19"/>
          <w:rFonts w:hint="eastAsia" w:ascii="仿宋" w:hAnsi="仿宋" w:eastAsia="仿宋" w:cs="仿宋"/>
          <w:sz w:val="32"/>
          <w:szCs w:val="32"/>
          <w:highlight w:val="none"/>
          <w:lang w:val="en-US" w:eastAsia="zh-CN"/>
        </w:rPr>
        <w:t>充分发挥</w:t>
      </w:r>
      <w:r>
        <w:rPr>
          <w:rStyle w:val="19"/>
          <w:rFonts w:hint="eastAsia" w:ascii="仿宋" w:hAnsi="仿宋" w:eastAsia="仿宋" w:cs="仿宋"/>
          <w:sz w:val="32"/>
          <w:szCs w:val="32"/>
          <w:highlight w:val="none"/>
        </w:rPr>
        <w:t>“两月一节”“悦读成长计划”</w:t>
      </w:r>
      <w:r>
        <w:rPr>
          <w:rStyle w:val="19"/>
          <w:rFonts w:hint="eastAsia" w:ascii="仿宋" w:hAnsi="仿宋" w:eastAsia="仿宋" w:cs="仿宋"/>
          <w:sz w:val="32"/>
          <w:szCs w:val="32"/>
          <w:highlight w:val="none"/>
          <w:lang w:val="en-US" w:eastAsia="zh-CN"/>
        </w:rPr>
        <w:t>等</w:t>
      </w:r>
      <w:r>
        <w:rPr>
          <w:rStyle w:val="19"/>
          <w:rFonts w:hint="eastAsia" w:ascii="仿宋" w:hAnsi="仿宋" w:eastAsia="仿宋" w:cs="仿宋"/>
          <w:sz w:val="32"/>
          <w:szCs w:val="32"/>
          <w:highlight w:val="none"/>
        </w:rPr>
        <w:t>阅读品牌</w:t>
      </w:r>
      <w:r>
        <w:rPr>
          <w:rStyle w:val="19"/>
          <w:rFonts w:hint="eastAsia" w:ascii="仿宋" w:hAnsi="仿宋" w:eastAsia="仿宋" w:cs="仿宋"/>
          <w:sz w:val="32"/>
          <w:szCs w:val="32"/>
          <w:highlight w:val="none"/>
          <w:lang w:val="en-US" w:eastAsia="zh-CN"/>
        </w:rPr>
        <w:t>育人功能，积极探索“</w:t>
      </w:r>
      <w:r>
        <w:rPr>
          <w:rStyle w:val="19"/>
          <w:rFonts w:hint="eastAsia" w:ascii="仿宋" w:hAnsi="仿宋" w:eastAsia="仿宋" w:cs="仿宋"/>
          <w:sz w:val="32"/>
          <w:szCs w:val="32"/>
          <w:highlight w:val="none"/>
        </w:rPr>
        <w:t>校-社共建</w:t>
      </w:r>
      <w:r>
        <w:rPr>
          <w:rStyle w:val="19"/>
          <w:rFonts w:hint="eastAsia" w:ascii="仿宋" w:hAnsi="仿宋" w:eastAsia="仿宋" w:cs="仿宋"/>
          <w:sz w:val="32"/>
          <w:szCs w:val="32"/>
          <w:highlight w:val="none"/>
          <w:lang w:eastAsia="zh-CN"/>
        </w:rPr>
        <w:t>、</w:t>
      </w:r>
      <w:r>
        <w:rPr>
          <w:rStyle w:val="19"/>
          <w:rFonts w:hint="eastAsia" w:ascii="仿宋" w:hAnsi="仿宋" w:eastAsia="仿宋" w:cs="仿宋"/>
          <w:sz w:val="32"/>
          <w:szCs w:val="32"/>
          <w:highlight w:val="none"/>
          <w:lang w:val="en-US" w:eastAsia="zh-CN"/>
        </w:rPr>
        <w:t>校</w:t>
      </w:r>
      <w:r>
        <w:rPr>
          <w:rStyle w:val="19"/>
          <w:rFonts w:hint="eastAsia" w:ascii="仿宋" w:hAnsi="仿宋" w:eastAsia="仿宋" w:cs="仿宋"/>
          <w:sz w:val="32"/>
          <w:szCs w:val="32"/>
          <w:highlight w:val="none"/>
        </w:rPr>
        <w:t>-</w:t>
      </w:r>
      <w:r>
        <w:rPr>
          <w:rStyle w:val="19"/>
          <w:rFonts w:hint="eastAsia" w:ascii="仿宋" w:hAnsi="仿宋" w:eastAsia="仿宋" w:cs="仿宋"/>
          <w:sz w:val="32"/>
          <w:szCs w:val="32"/>
          <w:highlight w:val="none"/>
          <w:lang w:val="en-US" w:eastAsia="zh-CN"/>
        </w:rPr>
        <w:t>园联动”的文化育人路径</w:t>
      </w:r>
      <w:r>
        <w:rPr>
          <w:rStyle w:val="19"/>
          <w:rFonts w:hint="eastAsia" w:ascii="仿宋" w:hAnsi="仿宋" w:eastAsia="仿宋" w:cs="仿宋"/>
          <w:sz w:val="32"/>
          <w:szCs w:val="32"/>
          <w:highlight w:val="none"/>
        </w:rPr>
        <w:t>。</w:t>
      </w:r>
    </w:p>
    <w:p w14:paraId="5D8CBE46">
      <w:pPr>
        <w:keepNext w:val="0"/>
        <w:keepLines w:val="0"/>
        <w:pageBreakBefore w:val="0"/>
        <w:numPr>
          <w:ilvl w:val="0"/>
          <w:numId w:val="1"/>
        </w:numPr>
        <w:kinsoku/>
        <w:wordWrap/>
        <w:topLinePunct w:val="0"/>
        <w:bidi w:val="0"/>
        <w:adjustRightInd/>
        <w:snapToGrid/>
        <w:spacing w:line="560" w:lineRule="exact"/>
        <w:ind w:left="0"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以安全稳定为责任，增强学校发展保障能力</w:t>
      </w:r>
    </w:p>
    <w:p w14:paraId="46559629">
      <w:pPr>
        <w:keepNext w:val="0"/>
        <w:keepLines w:val="0"/>
        <w:pageBreakBefore w:val="0"/>
        <w:widowControl w:val="0"/>
        <w:kinsoku/>
        <w:wordWrap/>
        <w:overflowPunct w:val="0"/>
        <w:topLinePunct w:val="0"/>
        <w:autoSpaceDE w:val="0"/>
        <w:autoSpaceDN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（十七）落实校园安全责任体系。</w:t>
      </w:r>
      <w:r>
        <w:rPr>
          <w:rFonts w:hint="eastAsia" w:ascii="仿宋" w:hAnsi="仿宋" w:eastAsia="仿宋" w:cs="仿宋"/>
          <w:sz w:val="32"/>
          <w:szCs w:val="32"/>
          <w:highlight w:val="none"/>
          <w:lang w:val="en-US" w:eastAsia="zh-CN"/>
        </w:rPr>
        <w:t>严格按照“三管三必须”要求，落实校园安全网格化管理责任，定期开展校园安全风险研判，开展宿舍违规电器等消防安全专项检查，切实防范化解各类校园安全风险。完善门岗、监控和消控室24小时值班制度。建立常态化安全教育机制，</w:t>
      </w:r>
      <w:r>
        <w:rPr>
          <w:rFonts w:hint="eastAsia" w:ascii="仿宋" w:hAnsi="仿宋" w:eastAsia="仿宋" w:cs="仿宋"/>
          <w:sz w:val="32"/>
          <w:szCs w:val="32"/>
          <w:highlight w:val="none"/>
          <w:lang w:eastAsia="zh-CN"/>
        </w:rPr>
        <w:t>多措并举</w:t>
      </w:r>
      <w:r>
        <w:rPr>
          <w:rFonts w:hint="eastAsia" w:ascii="仿宋" w:hAnsi="仿宋" w:eastAsia="仿宋" w:cs="仿宋"/>
          <w:sz w:val="32"/>
          <w:szCs w:val="32"/>
          <w:highlight w:val="none"/>
          <w:lang w:val="en-US" w:eastAsia="zh-CN"/>
        </w:rPr>
        <w:t>开展国家安全、防骗防诈、交通安全、食品安全等各类专题教育。落实“消防进军训”活动，开展师生自然灾害和消防安全应急疏散逃生演练。</w:t>
      </w:r>
    </w:p>
    <w:p w14:paraId="5E8A9C8A">
      <w:pPr>
        <w:keepNext w:val="0"/>
        <w:keepLines w:val="0"/>
        <w:pageBreakBefore w:val="0"/>
        <w:widowControl w:val="0"/>
        <w:kinsoku/>
        <w:wordWrap/>
        <w:overflowPunct w:val="0"/>
        <w:topLinePunct w:val="0"/>
        <w:autoSpaceDE w:val="0"/>
        <w:autoSpaceDN w:val="0"/>
        <w:bidi w:val="0"/>
        <w:adjustRightInd/>
        <w:snapToGrid/>
        <w:spacing w:line="56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（十八）全面筑牢校园食品安全防线。</w:t>
      </w:r>
      <w:r>
        <w:rPr>
          <w:rFonts w:hint="eastAsia" w:ascii="仿宋" w:hAnsi="仿宋" w:eastAsia="仿宋" w:cs="仿宋"/>
          <w:sz w:val="32"/>
          <w:szCs w:val="32"/>
          <w:highlight w:val="none"/>
          <w:lang w:val="en-US" w:eastAsia="zh-CN"/>
        </w:rPr>
        <w:t>严格落实《关于进一步加强学校食品安全管理的十项措施》，健全食品安全工作常态研判机制、食堂动态检查机制，加大食品安全检查力度，完善服务单位沟通机制，定期对学校食堂的食品安全风险进行评估，制定详细的食品安全应急预案，加强食品安全教育宣传、食堂从业人员培训，确保食品安全工作落到实处。推进垃圾分类常态化，规范处理教学生活垃圾，严格区分餐厨、可回收、有害等垃圾类型，共建整洁校园环境。</w:t>
      </w:r>
    </w:p>
    <w:p w14:paraId="6D7F5105">
      <w:pPr>
        <w:pStyle w:val="12"/>
        <w:keepNext w:val="0"/>
        <w:keepLines w:val="0"/>
        <w:pageBreakBefore w:val="0"/>
        <w:widowControl w:val="0"/>
        <w:kinsoku/>
        <w:wordWrap/>
        <w:topLinePunct w:val="0"/>
        <w:bidi w:val="0"/>
        <w:adjustRightInd/>
        <w:snapToGrid/>
        <w:spacing w:line="560" w:lineRule="exact"/>
        <w:ind w:left="0"/>
        <w:jc w:val="both"/>
        <w:textAlignment w:val="auto"/>
        <w:rPr>
          <w:rFonts w:hint="eastAsia" w:ascii="仿宋" w:hAnsi="仿宋" w:eastAsia="仿宋" w:cs="仿宋"/>
          <w:kern w:val="2"/>
          <w:sz w:val="32"/>
          <w:szCs w:val="32"/>
          <w:highlight w:val="none"/>
          <w:lang w:val="en-US" w:eastAsia="zh-CN" w:bidi="ar-SA"/>
        </w:rPr>
      </w:pPr>
      <w:r>
        <w:rPr>
          <w:rFonts w:hint="eastAsia" w:ascii="楷体" w:hAnsi="楷体" w:eastAsia="楷体" w:cs="楷体"/>
          <w:b w:val="0"/>
          <w:bCs w:val="0"/>
          <w:kern w:val="2"/>
          <w:sz w:val="32"/>
          <w:szCs w:val="32"/>
          <w:highlight w:val="none"/>
          <w:lang w:val="en-US" w:eastAsia="zh-CN" w:bidi="ar-SA"/>
        </w:rPr>
        <w:t>（十九）优化智慧校园防护体系。</w:t>
      </w:r>
      <w:r>
        <w:rPr>
          <w:rFonts w:hint="eastAsia" w:ascii="仿宋" w:hAnsi="仿宋" w:eastAsia="仿宋" w:cs="仿宋"/>
          <w:kern w:val="2"/>
          <w:sz w:val="32"/>
          <w:szCs w:val="32"/>
          <w:highlight w:val="none"/>
          <w:lang w:val="en-US" w:eastAsia="zh-CN" w:bidi="ar-SA"/>
        </w:rPr>
        <w:t>加快提升信息化建设水平，着力推进“以面向师生服务为导向，信息安全为保障，数据挖掘为核心”的智慧校园建设，构建具有苏幼特色的信息化运营服务生态，重点建设“3个1”智慧校园体系，即一张高可用性的有线无线一体化校园网、一套完善的智慧校园应用服务平台体系、一套可靠的综合运维系统。加强学校档案管理，推进电子建档规范化、实体保管科学化、利用服务精细化的工作机制建设。持续以师生需求为核心不断优化文献资源建设体系，提升馆藏文献资源的科学化、专业化、数字化水平。不断完善信息安全管理，构建安全DNS域名系统，密切监测、监控各应用系统运行情况，从边界防护、访问控制、入侵检测、行为审计、防毒防护、网站保护等方面建立全方位的安全防护体系。</w:t>
      </w:r>
    </w:p>
    <w:p w14:paraId="47E6690C">
      <w:pPr>
        <w:pStyle w:val="12"/>
        <w:keepNext w:val="0"/>
        <w:keepLines w:val="0"/>
        <w:pageBreakBefore w:val="0"/>
        <w:widowControl w:val="0"/>
        <w:kinsoku/>
        <w:wordWrap/>
        <w:topLinePunct w:val="0"/>
        <w:bidi w:val="0"/>
        <w:adjustRightInd/>
        <w:snapToGrid/>
        <w:spacing w:line="560" w:lineRule="exact"/>
        <w:ind w:left="0"/>
        <w:jc w:val="both"/>
        <w:textAlignment w:val="auto"/>
        <w:rPr>
          <w:rFonts w:hint="eastAsia" w:ascii="仿宋" w:hAnsi="仿宋" w:eastAsia="仿宋" w:cs="仿宋"/>
          <w:snapToGrid w:val="0"/>
          <w:color w:val="000000"/>
          <w:kern w:val="0"/>
          <w:sz w:val="32"/>
          <w:szCs w:val="32"/>
          <w:highlight w:val="none"/>
          <w:lang w:val="en-US" w:eastAsia="zh-CN" w:bidi="ar-SA"/>
        </w:rPr>
      </w:pPr>
      <w:r>
        <w:rPr>
          <w:rFonts w:hint="eastAsia" w:ascii="楷体" w:hAnsi="楷体" w:eastAsia="楷体" w:cs="楷体"/>
          <w:b w:val="0"/>
          <w:bCs w:val="0"/>
          <w:kern w:val="2"/>
          <w:sz w:val="32"/>
          <w:szCs w:val="32"/>
          <w:highlight w:val="none"/>
          <w:lang w:val="en-US" w:eastAsia="zh-CN" w:bidi="ar-SA"/>
        </w:rPr>
        <w:t>（二十）健全校园服务保障体系。</w:t>
      </w:r>
      <w:r>
        <w:rPr>
          <w:rFonts w:hint="eastAsia" w:ascii="仿宋" w:hAnsi="仿宋" w:eastAsia="仿宋" w:cs="仿宋"/>
          <w:sz w:val="32"/>
          <w:szCs w:val="32"/>
          <w:highlight w:val="none"/>
          <w:lang w:val="en-US" w:eastAsia="zh-CN"/>
        </w:rPr>
        <w:t>深化工会自身建设，加强工会干部队伍、理论阵地、活动阵地建设。强化民主管理，发挥好教代会、工代会制度作用，积极为学校高质量发展和民主决策提供监督和保障。做好教职工常态化送温暖工作、普惠福利、慰问互助工作，建立单身教工、特殊教工、困难教工家庭档案，切实为教职工做好事、办实事、解难事。聚焦教职工健康、权益保障、文化生活需求，开展丰富多彩、喜闻乐见的文体活动，全面提升教职员工幸福感、获得感。不断提升“一站式”学生社区服务水平和工作质效，持续开展苏幼下午茶等品牌活动，畅通学生诉求反馈渠道，不断将育人力量和优势资源下沉一线，服务学生成长。充分运用信息化手段，优化和简化学生事务办理流程，不断推进学生服务工作网络化、精准化、高效化。</w:t>
      </w:r>
    </w:p>
    <w:p w14:paraId="6CF65EB3">
      <w:pPr>
        <w:pStyle w:val="12"/>
        <w:keepNext w:val="0"/>
        <w:keepLines w:val="0"/>
        <w:pageBreakBefore w:val="0"/>
        <w:kinsoku/>
        <w:wordWrap/>
        <w:topLinePunct w:val="0"/>
        <w:bidi w:val="0"/>
        <w:adjustRightInd/>
        <w:snapToGrid/>
        <w:spacing w:line="560" w:lineRule="exact"/>
        <w:ind w:left="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学校将坚持以习近平新时代中国特色社会主义思想为引领，</w:t>
      </w:r>
      <w:r>
        <w:rPr>
          <w:rFonts w:hint="eastAsia" w:ascii="仿宋" w:hAnsi="仿宋" w:eastAsia="仿宋" w:cs="仿宋"/>
          <w:b w:val="0"/>
          <w:bCs w:val="0"/>
          <w:sz w:val="32"/>
          <w:szCs w:val="32"/>
          <w:highlight w:val="none"/>
          <w:lang w:val="en-US" w:eastAsia="zh-CN"/>
        </w:rPr>
        <w:t>认真贯彻中央和省委、市委关于高等教育、职业教育的决策部署，大力弘扬践行教育家精神，积极主动服务构建新发展格局，聚焦发力谋划好“十五五”学校事业发展规划</w:t>
      </w:r>
      <w:r>
        <w:rPr>
          <w:rFonts w:hint="eastAsia" w:ascii="仿宋" w:hAnsi="仿宋" w:eastAsia="仿宋" w:cs="仿宋"/>
          <w:sz w:val="32"/>
          <w:szCs w:val="32"/>
          <w:highlight w:val="none"/>
          <w:lang w:val="en-US" w:eastAsia="zh-CN"/>
        </w:rPr>
        <w:t>，</w:t>
      </w:r>
      <w:r>
        <w:rPr>
          <w:rFonts w:hint="eastAsia" w:ascii="仿宋" w:hAnsi="仿宋" w:eastAsia="仿宋" w:cs="仿宋"/>
          <w:i w:val="0"/>
          <w:iCs w:val="0"/>
          <w:caps w:val="0"/>
          <w:spacing w:val="0"/>
          <w:sz w:val="32"/>
          <w:szCs w:val="32"/>
          <w:highlight w:val="none"/>
          <w:shd w:val="clear" w:color="auto" w:fill="FFFFFF"/>
        </w:rPr>
        <w:t>全面提升办学核心竞争力，进一步提高服务地方经济社会发展能力，</w:t>
      </w:r>
      <w:r>
        <w:rPr>
          <w:rFonts w:hint="eastAsia" w:ascii="仿宋" w:hAnsi="仿宋" w:eastAsia="仿宋" w:cs="仿宋"/>
          <w:sz w:val="32"/>
          <w:szCs w:val="32"/>
          <w:highlight w:val="none"/>
          <w:lang w:val="en-US" w:eastAsia="zh-CN"/>
        </w:rPr>
        <w:t>奋力书写教育强国建设的时代答卷。</w:t>
      </w:r>
    </w:p>
    <w:sectPr>
      <w:footerReference r:id="rId3" w:type="default"/>
      <w:pgSz w:w="11906" w:h="16838"/>
      <w:pgMar w:top="1984" w:right="1474" w:bottom="1928"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985D2A-7B73-4D6D-A875-8037159368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CE778918-195E-4629-912A-2C3426B14BC9}"/>
  </w:font>
  <w:font w:name="仿宋">
    <w:panose1 w:val="02010609060101010101"/>
    <w:charset w:val="86"/>
    <w:family w:val="auto"/>
    <w:pitch w:val="default"/>
    <w:sig w:usb0="800002BF" w:usb1="38CF7CFA" w:usb2="00000016" w:usb3="00000000" w:csb0="00040001" w:csb1="00000000"/>
    <w:embedRegular r:id="rId3" w:fontKey="{92D4286C-C9CC-42C4-A696-3F08CAF969CB}"/>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5F306B49-33E6-4211-8E9F-19C08B6FF0DE}"/>
  </w:font>
  <w:font w:name="方正小标宋简体">
    <w:panose1 w:val="02000000000000000000"/>
    <w:charset w:val="86"/>
    <w:family w:val="script"/>
    <w:pitch w:val="default"/>
    <w:sig w:usb0="00000001" w:usb1="080E0000" w:usb2="00000000" w:usb3="00000000" w:csb0="00040000" w:csb1="00000000"/>
    <w:embedRegular r:id="rId5" w:fontKey="{0796380E-7BDE-4BE2-AE55-7413151C8AE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F45E2">
    <w:pPr>
      <w:pStyle w:val="8"/>
      <w:rPr>
        <w:rFonts w:hint="eastAsia"/>
      </w:rP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32F4201">
                          <w:pPr>
                            <w:pStyle w:val="8"/>
                            <w:rPr>
                              <w:rFonts w:hint="eastAsia"/>
                              <w:sz w:val="28"/>
                              <w:szCs w:val="32"/>
                            </w:rPr>
                          </w:pPr>
                          <w:r>
                            <w:rPr>
                              <w:sz w:val="28"/>
                              <w:szCs w:val="32"/>
                            </w:rPr>
                            <w:fldChar w:fldCharType="begin"/>
                          </w:r>
                          <w:r>
                            <w:rPr>
                              <w:sz w:val="28"/>
                              <w:szCs w:val="32"/>
                            </w:rPr>
                            <w:instrText xml:space="preserve"> PAGE  \* MERGEFORMAT </w:instrText>
                          </w:r>
                          <w:r>
                            <w:rPr>
                              <w:sz w:val="28"/>
                              <w:szCs w:val="32"/>
                            </w:rPr>
                            <w:fldChar w:fldCharType="separate"/>
                          </w:r>
                          <w:r>
                            <w:rPr>
                              <w:sz w:val="28"/>
                              <w:szCs w:val="32"/>
                            </w:rPr>
                            <w:t>1</w:t>
                          </w:r>
                          <w:r>
                            <w:rPr>
                              <w:sz w:val="28"/>
                              <w:szCs w:val="32"/>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532F4201">
                    <w:pPr>
                      <w:pStyle w:val="8"/>
                      <w:rPr>
                        <w:rFonts w:hint="eastAsia"/>
                        <w:sz w:val="28"/>
                        <w:szCs w:val="32"/>
                      </w:rPr>
                    </w:pPr>
                    <w:r>
                      <w:rPr>
                        <w:sz w:val="28"/>
                        <w:szCs w:val="32"/>
                      </w:rPr>
                      <w:fldChar w:fldCharType="begin"/>
                    </w:r>
                    <w:r>
                      <w:rPr>
                        <w:sz w:val="28"/>
                        <w:szCs w:val="32"/>
                      </w:rPr>
                      <w:instrText xml:space="preserve"> PAGE  \* MERGEFORMAT </w:instrText>
                    </w:r>
                    <w:r>
                      <w:rPr>
                        <w:sz w:val="28"/>
                        <w:szCs w:val="32"/>
                      </w:rPr>
                      <w:fldChar w:fldCharType="separate"/>
                    </w:r>
                    <w:r>
                      <w:rPr>
                        <w:sz w:val="28"/>
                        <w:szCs w:val="32"/>
                      </w:rPr>
                      <w:t>1</w:t>
                    </w:r>
                    <w:r>
                      <w:rPr>
                        <w:sz w:val="28"/>
                        <w:szCs w:val="32"/>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D4413A"/>
    <w:rsid w:val="0E904E74"/>
    <w:rsid w:val="189936EA"/>
    <w:rsid w:val="320A669A"/>
    <w:rsid w:val="38CC58A6"/>
    <w:rsid w:val="4B2D30CB"/>
    <w:rsid w:val="589B7843"/>
    <w:rsid w:val="6E91041D"/>
    <w:rsid w:val="790A41A6"/>
    <w:rsid w:val="7FA11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kern w:val="2"/>
      <w:sz w:val="21"/>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b/>
      <w:bCs/>
      <w:kern w:val="44"/>
      <w:sz w:val="48"/>
      <w:szCs w:val="48"/>
    </w:rPr>
  </w:style>
  <w:style w:type="paragraph" w:styleId="3">
    <w:name w:val="heading 2"/>
    <w:basedOn w:val="1"/>
    <w:next w:val="1"/>
    <w:qFormat/>
    <w:uiPriority w:val="0"/>
    <w:pPr>
      <w:spacing w:before="0" w:beforeAutospacing="1" w:after="0" w:afterAutospacing="1"/>
      <w:jc w:val="left"/>
    </w:pPr>
    <w:rPr>
      <w:rFonts w:hint="eastAsia" w:ascii="宋体" w:hAnsi="宋体" w:eastAsia="宋体" w:cs="宋体"/>
      <w:b/>
      <w:bCs/>
      <w:kern w:val="0"/>
      <w:sz w:val="36"/>
      <w:szCs w:val="36"/>
      <w:lang w:val="en-US" w:eastAsia="zh-CN"/>
    </w:rPr>
  </w:style>
  <w:style w:type="paragraph" w:styleId="4">
    <w:name w:val="heading 3"/>
    <w:basedOn w:val="1"/>
    <w:next w:val="1"/>
    <w:qFormat/>
    <w:uiPriority w:val="0"/>
    <w:pPr>
      <w:spacing w:before="0" w:beforeAutospacing="1" w:after="0" w:afterAutospacing="1"/>
      <w:jc w:val="left"/>
    </w:pPr>
    <w:rPr>
      <w:rFonts w:hint="eastAsia" w:ascii="宋体" w:hAnsi="宋体" w:eastAsia="宋体" w:cs="宋体"/>
      <w:b/>
      <w:bCs/>
      <w:kern w:val="0"/>
      <w:sz w:val="27"/>
      <w:szCs w:val="27"/>
      <w:lang w:val="en-US" w:eastAsia="zh-CN"/>
    </w:rPr>
  </w:style>
  <w:style w:type="paragraph" w:styleId="5">
    <w:name w:val="heading 4"/>
    <w:basedOn w:val="1"/>
    <w:next w:val="1"/>
    <w:qFormat/>
    <w:uiPriority w:val="0"/>
    <w:pPr>
      <w:spacing w:beforeAutospacing="1" w:afterAutospacing="1"/>
      <w:jc w:val="left"/>
      <w:outlineLvl w:val="3"/>
    </w:pPr>
    <w:rPr>
      <w:rFonts w:hint="eastAsia" w:ascii="宋体" w:hAnsi="宋体" w:eastAsia="宋体"/>
      <w:b/>
      <w:bCs/>
      <w:kern w:val="0"/>
      <w:sz w:val="24"/>
      <w:szCs w:val="24"/>
    </w:rPr>
  </w:style>
  <w:style w:type="character" w:default="1" w:styleId="14">
    <w:name w:val="Default Paragraph Font"/>
    <w:qFormat/>
    <w:uiPriority w:val="1"/>
  </w:style>
  <w:style w:type="table" w:default="1" w:styleId="13">
    <w:name w:val="Normal Table"/>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Body Text Indent"/>
    <w:basedOn w:val="1"/>
    <w:qFormat/>
    <w:uiPriority w:val="0"/>
    <w:pPr>
      <w:spacing w:line="336" w:lineRule="auto"/>
      <w:ind w:firstLine="624" w:firstLineChars="200"/>
    </w:pPr>
    <w:rPr>
      <w:rFonts w:eastAsia="仿宋"/>
      <w:kern w:val="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0"/>
    <w:rPr>
      <w:rFonts w:ascii="Times New Roman" w:hAnsi="Times New Roman" w:eastAsia="宋体"/>
      <w:szCs w:val="24"/>
    </w:rPr>
  </w:style>
  <w:style w:type="paragraph" w:styleId="11">
    <w:name w:val="Normal (Web)"/>
    <w:basedOn w:val="1"/>
    <w:qFormat/>
    <w:uiPriority w:val="0"/>
    <w:pPr>
      <w:spacing w:beforeAutospacing="1" w:afterAutospacing="1"/>
      <w:jc w:val="left"/>
    </w:pPr>
    <w:rPr>
      <w:kern w:val="0"/>
      <w:sz w:val="24"/>
    </w:rPr>
  </w:style>
  <w:style w:type="paragraph" w:styleId="12">
    <w:name w:val="Body Text First Indent 2"/>
    <w:basedOn w:val="7"/>
    <w:qFormat/>
    <w:uiPriority w:val="99"/>
    <w:pPr>
      <w:ind w:left="200" w:firstLine="420"/>
    </w:pPr>
    <w:rPr>
      <w:rFonts w:eastAsia="仿宋_GB2312"/>
      <w:sz w:val="28"/>
    </w:rPr>
  </w:style>
  <w:style w:type="character" w:styleId="15">
    <w:name w:val="Strong"/>
    <w:basedOn w:val="14"/>
    <w:qFormat/>
    <w:uiPriority w:val="0"/>
    <w:rPr>
      <w:b/>
    </w:rPr>
  </w:style>
  <w:style w:type="character" w:styleId="16">
    <w:name w:val="page number"/>
    <w:basedOn w:val="14"/>
    <w:qFormat/>
    <w:uiPriority w:val="0"/>
  </w:style>
  <w:style w:type="character" w:styleId="17">
    <w:name w:val="Emphasis"/>
    <w:basedOn w:val="14"/>
    <w:qFormat/>
    <w:uiPriority w:val="0"/>
    <w:rPr>
      <w:i/>
    </w:rPr>
  </w:style>
  <w:style w:type="character" w:styleId="18">
    <w:name w:val="Hyperlink"/>
    <w:basedOn w:val="14"/>
    <w:qFormat/>
    <w:uiPriority w:val="0"/>
    <w:rPr>
      <w:color w:val="0000FF"/>
      <w:u w:val="single"/>
    </w:rPr>
  </w:style>
  <w:style w:type="character" w:customStyle="1" w:styleId="19">
    <w:name w:val="公文二级目录 Char"/>
    <w:link w:val="20"/>
    <w:qFormat/>
    <w:uiPriority w:val="0"/>
    <w:rPr>
      <w:rFonts w:ascii="楷体_GB2312" w:hAnsi="楷体_GB2312" w:eastAsia="楷体"/>
      <w:sz w:val="32"/>
      <w:szCs w:val="32"/>
    </w:rPr>
  </w:style>
  <w:style w:type="paragraph" w:customStyle="1" w:styleId="20">
    <w:name w:val="公文二级目录"/>
    <w:basedOn w:val="1"/>
    <w:link w:val="19"/>
    <w:qFormat/>
    <w:uiPriority w:val="0"/>
    <w:pPr>
      <w:ind w:firstLine="640" w:firstLineChars="200"/>
    </w:pPr>
    <w:rPr>
      <w:rFonts w:ascii="楷体_GB2312" w:hAnsi="楷体_GB2312" w:eastAsia="楷体"/>
      <w:sz w:val="32"/>
      <w:szCs w:val="32"/>
    </w:rPr>
  </w:style>
  <w:style w:type="paragraph" w:customStyle="1" w:styleId="21">
    <w:name w:val="Default"/>
    <w:qFormat/>
    <w:uiPriority w:val="0"/>
    <w:pPr>
      <w:widowControl w:val="0"/>
      <w:autoSpaceDE w:val="0"/>
      <w:autoSpaceDN w:val="0"/>
      <w:adjustRightInd w:val="0"/>
    </w:pPr>
    <w:rPr>
      <w:rFonts w:ascii="Calibri" w:hAnsi="Calibri" w:eastAsia="宋体" w:cs="Calibri"/>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6120</Words>
  <Characters>6172</Characters>
  <Paragraphs>49</Paragraphs>
  <TotalTime>0</TotalTime>
  <ScaleCrop>false</ScaleCrop>
  <LinksUpToDate>false</LinksUpToDate>
  <CharactersWithSpaces>6174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2025-01-02T01:02:00Z</dcterms:created>
  <dc:creator>HUAWEI</dc:creator>
  <cp:lastModifiedBy>嵇红英</cp:lastModifiedBy>
  <dcterms:modified xsi:type="dcterms:W3CDTF">2025-11-09T09:23:44Z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00CCD31445D84D3EB90B04C8759B2A79_13</vt:lpwstr>
  </property>
  <property fmtid="{D5CDD505-2E9C-101B-9397-08002B2CF9AE}" pid="4" name="KSOTemplateDocerSaveRecord">
    <vt:lpwstr>eyJoZGlkIjoiMTQ5MDJhZDkxOGExNGJlNzZkN2U4OTU4MTMyNmY5MTEiLCJ1c2VySWQiOiI0NDMzMTEwMzQifQ==</vt:lpwstr>
  </property>
</Properties>
</file>